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Spec="center" w:tblpY="2688"/>
        <w:tblOverlap w:val="never"/>
        <w:tblW w:w="9514" w:type="dxa"/>
        <w:jc w:val="center"/>
        <w:tblInd w:w="0" w:type="dxa"/>
        <w:tblLayout w:type="fixed"/>
        <w:tblCellMar>
          <w:top w:w="0" w:type="dxa"/>
          <w:left w:w="28" w:type="dxa"/>
          <w:bottom w:w="0" w:type="dxa"/>
          <w:right w:w="28" w:type="dxa"/>
        </w:tblCellMar>
      </w:tblPr>
      <w:tblGrid>
        <w:gridCol w:w="9514"/>
      </w:tblGrid>
      <w:tr>
        <w:tblPrEx>
          <w:tblLayout w:type="fixed"/>
          <w:tblCellMar>
            <w:top w:w="0" w:type="dxa"/>
            <w:left w:w="28" w:type="dxa"/>
            <w:bottom w:w="0" w:type="dxa"/>
            <w:right w:w="28" w:type="dxa"/>
          </w:tblCellMar>
        </w:tblPrEx>
        <w:trPr>
          <w:trHeight w:val="2582" w:hRule="exact"/>
          <w:jc w:val="center"/>
        </w:trPr>
        <w:tc>
          <w:tcPr>
            <w:tcW w:w="9514"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Layout w:type="fixed"/>
          <w:tblCellMar>
            <w:top w:w="0" w:type="dxa"/>
            <w:left w:w="28" w:type="dxa"/>
            <w:bottom w:w="0" w:type="dxa"/>
            <w:right w:w="28" w:type="dxa"/>
          </w:tblCellMar>
        </w:tblPrEx>
        <w:trPr>
          <w:trHeight w:val="593" w:hRule="exact"/>
          <w:jc w:val="center"/>
        </w:trPr>
        <w:tc>
          <w:tcPr>
            <w:tcW w:w="9514" w:type="dxa"/>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napToGrid w:val="0"/>
                <w:color w:val="auto"/>
                <w:kern w:val="0"/>
                <w:sz w:val="32"/>
                <w:szCs w:val="32"/>
                <w:lang w:val="en-US" w:eastAsia="zh-CN"/>
              </w:rPr>
              <w:t>闽教职成〔2021〕7号</w:t>
            </w:r>
          </w:p>
        </w:tc>
      </w:tr>
      <w:tr>
        <w:tblPrEx>
          <w:tblLayout w:type="fixed"/>
          <w:tblCellMar>
            <w:top w:w="0" w:type="dxa"/>
            <w:left w:w="28" w:type="dxa"/>
            <w:bottom w:w="0" w:type="dxa"/>
            <w:right w:w="28" w:type="dxa"/>
          </w:tblCellMar>
        </w:tblPrEx>
        <w:trPr>
          <w:trHeight w:val="146" w:hRule="exact"/>
          <w:jc w:val="center"/>
        </w:trPr>
        <w:tc>
          <w:tcPr>
            <w:tcW w:w="9514" w:type="dxa"/>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mc:AlternateContent>
                <mc:Choice Requires="wps">
                  <w:drawing>
                    <wp:anchor distT="0" distB="0" distL="114300" distR="114300" simplePos="0" relativeHeight="251667456" behindDoc="1" locked="0" layoutInCell="1" allowOverlap="1">
                      <wp:simplePos x="0" y="0"/>
                      <wp:positionH relativeFrom="column">
                        <wp:posOffset>-24130</wp:posOffset>
                      </wp:positionH>
                      <wp:positionV relativeFrom="paragraph">
                        <wp:posOffset>111760</wp:posOffset>
                      </wp:positionV>
                      <wp:extent cx="5742940" cy="635"/>
                      <wp:effectExtent l="0" t="19050" r="10160" b="37465"/>
                      <wp:wrapTight wrapText="bothSides">
                        <wp:wrapPolygon>
                          <wp:start x="0" y="-648000"/>
                          <wp:lineTo x="0" y="0"/>
                          <wp:lineTo x="21495" y="0"/>
                          <wp:lineTo x="21495" y="-648000"/>
                          <wp:lineTo x="0" y="-648000"/>
                        </wp:wrapPolygon>
                      </wp:wrapTight>
                      <wp:docPr id="6" name="直接连接符 6"/>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8.8pt;height:0.05pt;width:452.2pt;mso-wrap-distance-left:9pt;mso-wrap-distance-right:9pt;z-index:-251649024;mso-width-relative:page;mso-height-relative:page;" filled="f" stroked="t" coordsize="21600,21600" wrapcoords="0 -648000 0 0 21495 0 21495 -648000 0 -648000" o:gfxdata="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vLGCtkAAAAIAQAA&#10;DwAAAAAAAAABACAAAAAiAAAAZHJzL2Rvd25yZXYueG1sUEsBAhQAFAAAAAgAh07iQEYYsSPfAQAA&#10;mQMAAA4AAAAAAAAAAQAgAAAAKAEAAGRycy9lMm9Eb2MueG1sUEsFBgAAAAAGAAYAWQEAAHkFAAAA&#10;AA==&#10;">
                      <v:fill on="f" focussize="0,0"/>
                      <v:stroke weight="3pt" color="#FF0000" joinstyle="round"/>
                      <v:imagedata o:title=""/>
                      <o:lock v:ext="edit" aspectratio="f"/>
                      <w10:wrap type="tight"/>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福建省教育厅关于做好2021年中等职业</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学校学业水平考试工作的通知</w:t>
      </w:r>
    </w:p>
    <w:p>
      <w:pPr>
        <w:jc w:val="both"/>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各设区市教育局、平潭综合实验区社会事业局，各省属中职学校，有关高职院校：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福建省人民政府关于印发福建省深化高等学校考试招生综合改革实施方案的通知》（闽政〔2019〕5号）和《福建省教育厅关于印发福建省高职院校分类考试招生改革实施办法的通知》（闽教学〔2019〕35号）精神，现就做好2021年我省中等职业学校学业水平考试（以下简称“中职学业水平考试”）工作通知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一、考试类别</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中职学业水平考试分为合格性考试和等级性考试。合格性考试包括公共基础知识（含德育、语文、数学、英语、计算机应用基础）、专业基础知识、专业技能考试3个部分；等级性考试包括公共基础知识中的德育、语文、数学、英语和专业基础知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二、考试对象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全省中等职业学校2019级、2020级全日制学历教育学生（含高职院校招收的全日制中职学历教育学生）均须参加合格性考试，有升学意愿的学生还需参加等级性考试。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技工院校在校生和社会人员也可报名参加合格性考试和等级性考试。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三、考试组织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（一）</w:t>
      </w:r>
      <w:r>
        <w:rPr>
          <w:rFonts w:hint="eastAsia" w:ascii="仿宋_GB2312" w:hAnsi="仿宋_GB2312" w:eastAsia="仿宋_GB2312" w:cs="仿宋_GB2312"/>
          <w:b w:val="0"/>
          <w:bCs w:val="0"/>
          <w:sz w:val="32"/>
          <w:szCs w:val="32"/>
          <w:u w:val="none"/>
          <w:lang w:val="en-US" w:eastAsia="zh-CN"/>
        </w:rPr>
        <w:t>公共基础知识、专业基础知识考试，由省里统一组织。</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（二）</w:t>
      </w:r>
      <w:r>
        <w:rPr>
          <w:rFonts w:hint="eastAsia" w:ascii="仿宋_GB2312" w:hAnsi="仿宋_GB2312" w:eastAsia="仿宋_GB2312" w:cs="仿宋_GB2312"/>
          <w:b w:val="0"/>
          <w:bCs w:val="0"/>
          <w:sz w:val="32"/>
          <w:szCs w:val="32"/>
          <w:u w:val="none"/>
          <w:lang w:val="en-US" w:eastAsia="zh-CN"/>
        </w:rPr>
        <w:t>专业技能考试由中职学校负责组织，学校应在每年10月底前将专业技能考试实施方案，报设区市教育局、</w:t>
      </w:r>
      <w:r>
        <w:rPr>
          <w:rFonts w:hint="eastAsia" w:ascii="仿宋_GB2312" w:hAnsi="仿宋_GB2312" w:eastAsia="仿宋_GB2312" w:cs="仿宋_GB2312"/>
          <w:sz w:val="32"/>
          <w:szCs w:val="32"/>
          <w:u w:val="none"/>
          <w:lang w:val="en-US" w:eastAsia="zh-CN"/>
        </w:rPr>
        <w:t>平潭综合实验区社会事业局</w:t>
      </w:r>
      <w:r>
        <w:rPr>
          <w:rFonts w:hint="eastAsia" w:ascii="仿宋_GB2312" w:hAnsi="仿宋_GB2312" w:eastAsia="仿宋_GB2312" w:cs="仿宋_GB2312"/>
          <w:b w:val="0"/>
          <w:bCs w:val="0"/>
          <w:sz w:val="32"/>
          <w:szCs w:val="32"/>
          <w:u w:val="none"/>
          <w:lang w:val="en-US" w:eastAsia="zh-CN"/>
        </w:rPr>
        <w:t>备案，省属中职学校报省教育厅备案。鼓励有条件的设区市教育局统一组织实施。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四、考试内容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（一）公共基础知识考试。</w:t>
      </w:r>
      <w:r>
        <w:rPr>
          <w:rFonts w:hint="eastAsia" w:ascii="仿宋_GB2312" w:hAnsi="仿宋_GB2312" w:eastAsia="仿宋_GB2312" w:cs="仿宋_GB2312"/>
          <w:b w:val="0"/>
          <w:bCs w:val="0"/>
          <w:sz w:val="32"/>
          <w:szCs w:val="32"/>
          <w:u w:val="none"/>
          <w:lang w:val="en-US" w:eastAsia="zh-CN"/>
        </w:rPr>
        <w:t>德育、语文、数学、英语4门课程的考试内容，按照《福建省教育厅关于印发福建省中等职业学校学生学业水平考试大纲的通知》（闽教考〔2019〕10号）执行。</w:t>
      </w:r>
      <w:r>
        <w:rPr>
          <w:rFonts w:hint="eastAsia" w:ascii="仿宋_GB2312" w:hAnsi="仿宋_GB2312" w:eastAsia="仿宋_GB2312" w:cs="仿宋_GB2312"/>
          <w:b w:val="0"/>
          <w:bCs w:val="0"/>
          <w:sz w:val="32"/>
          <w:szCs w:val="32"/>
          <w:highlight w:val="none"/>
          <w:u w:val="none"/>
          <w:lang w:val="en-US" w:eastAsia="zh-CN"/>
        </w:rPr>
        <w:t>计算机应用基础</w:t>
      </w:r>
      <w:r>
        <w:rPr>
          <w:rFonts w:hint="eastAsia" w:ascii="仿宋_GB2312" w:hAnsi="仿宋_GB2312" w:eastAsia="仿宋_GB2312" w:cs="仿宋_GB2312"/>
          <w:b w:val="0"/>
          <w:bCs w:val="0"/>
          <w:sz w:val="32"/>
          <w:szCs w:val="32"/>
          <w:u w:val="none"/>
          <w:lang w:val="en-US" w:eastAsia="zh-CN"/>
        </w:rPr>
        <w:t>按照《福建省教育厅关于印发福建省中等职业学校学业水平考试大纲（修订）的通知》（闽教考〔2021〕1号）执行。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u w:val="none"/>
          <w:lang w:val="en-US" w:eastAsia="zh-CN"/>
        </w:rPr>
        <w:t>（二）专业基础知识考试。</w:t>
      </w:r>
      <w:r>
        <w:rPr>
          <w:rFonts w:hint="eastAsia" w:ascii="仿宋_GB2312" w:hAnsi="仿宋_GB2312" w:eastAsia="仿宋_GB2312" w:cs="仿宋_GB2312"/>
          <w:sz w:val="32"/>
          <w:szCs w:val="32"/>
          <w:u w:val="none"/>
          <w:lang w:val="en-US" w:eastAsia="zh-CN"/>
        </w:rPr>
        <w:t>按专业进行，每个专业指定1门考试课程（</w:t>
      </w:r>
      <w:r>
        <w:rPr>
          <w:rFonts w:hint="eastAsia" w:ascii="仿宋_GB2312" w:hAnsi="仿宋_GB2312" w:eastAsia="仿宋_GB2312" w:cs="仿宋_GB2312"/>
          <w:b w:val="0"/>
          <w:bCs w:val="0"/>
          <w:sz w:val="32"/>
          <w:szCs w:val="32"/>
          <w:u w:val="none"/>
          <w:lang w:val="en-US" w:eastAsia="zh-CN"/>
        </w:rPr>
        <w:t>见附件），</w:t>
      </w:r>
      <w:r>
        <w:rPr>
          <w:rFonts w:hint="eastAsia" w:ascii="仿宋_GB2312" w:hAnsi="仿宋_GB2312" w:eastAsia="仿宋_GB2312" w:cs="仿宋_GB2312"/>
          <w:sz w:val="32"/>
          <w:szCs w:val="32"/>
          <w:u w:val="none"/>
          <w:lang w:val="en-US" w:eastAsia="zh-CN"/>
        </w:rPr>
        <w:t>考试内容</w:t>
      </w:r>
      <w:r>
        <w:rPr>
          <w:rFonts w:hint="eastAsia" w:ascii="仿宋_GB2312" w:hAnsi="仿宋_GB2312" w:eastAsia="仿宋_GB2312" w:cs="仿宋_GB2312"/>
          <w:b w:val="0"/>
          <w:bCs w:val="0"/>
          <w:sz w:val="32"/>
          <w:szCs w:val="32"/>
          <w:u w:val="none"/>
          <w:lang w:val="en-US" w:eastAsia="zh-CN"/>
        </w:rPr>
        <w:t>按照《福建省教育厅关于印发福建省中等职业学校学生学业水平考试大纲的通知》（闽教考〔2019〕10号）执行。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u w:val="none"/>
          <w:lang w:val="en-US" w:eastAsia="zh-CN"/>
        </w:rPr>
        <w:t>（三）专业技能考试。</w:t>
      </w:r>
      <w:r>
        <w:rPr>
          <w:rFonts w:hint="eastAsia" w:ascii="仿宋_GB2312" w:hAnsi="仿宋_GB2312" w:eastAsia="仿宋_GB2312" w:cs="仿宋_GB2312"/>
          <w:sz w:val="32"/>
          <w:szCs w:val="32"/>
          <w:u w:val="none"/>
          <w:lang w:val="en-US" w:eastAsia="zh-CN"/>
        </w:rPr>
        <w:t>按专业进行，考试内容以教育部《中等职业学校专业教学标准（试行）》为依据，由中职学校按照专业人才培养方案确定。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五、考试方式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（一）公共基础知识考试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1.合格性考试。</w:t>
      </w:r>
      <w:r>
        <w:rPr>
          <w:rFonts w:hint="eastAsia" w:ascii="仿宋_GB2312" w:hAnsi="仿宋_GB2312" w:eastAsia="仿宋_GB2312" w:cs="仿宋_GB2312"/>
          <w:sz w:val="32"/>
          <w:szCs w:val="32"/>
          <w:u w:val="none"/>
          <w:lang w:val="en-US" w:eastAsia="zh-CN"/>
        </w:rPr>
        <w:t>将德育、语文、数学、英语4门课程考试合并在一张试卷（公共基础知识综合卷</w:t>
      </w:r>
      <w:r>
        <w:rPr>
          <w:rFonts w:hint="eastAsia" w:ascii="楷体_GB2312" w:hAnsi="楷体_GB2312" w:eastAsia="楷体_GB2312" w:cs="楷体_GB2312"/>
          <w:sz w:val="32"/>
          <w:szCs w:val="32"/>
          <w:u w:val="none"/>
          <w:lang w:val="en-US" w:eastAsia="zh-CN"/>
        </w:rPr>
        <w:t>I）</w:t>
      </w:r>
      <w:r>
        <w:rPr>
          <w:rFonts w:hint="eastAsia" w:ascii="仿宋_GB2312" w:hAnsi="仿宋_GB2312" w:eastAsia="仿宋_GB2312" w:cs="仿宋_GB2312"/>
          <w:sz w:val="32"/>
          <w:szCs w:val="32"/>
          <w:u w:val="none"/>
          <w:lang w:val="en-US" w:eastAsia="zh-CN"/>
        </w:rPr>
        <w:t>，采取书面闭卷笔试方式，考试时长90分钟。计算机应用基础考试采取上机考试方式，考试时长60分钟。</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2.等级性考试。</w:t>
      </w:r>
      <w:r>
        <w:rPr>
          <w:rFonts w:hint="eastAsia" w:ascii="仿宋_GB2312" w:hAnsi="仿宋_GB2312" w:eastAsia="仿宋_GB2312" w:cs="仿宋_GB2312"/>
          <w:sz w:val="32"/>
          <w:szCs w:val="32"/>
          <w:u w:val="none"/>
          <w:lang w:val="en-US" w:eastAsia="zh-CN"/>
        </w:rPr>
        <w:t>将德育、语文、数学、英语4门课程考试合并在一张试卷（公共基础知识综合卷Ⅱ</w:t>
      </w:r>
      <w:r>
        <w:rPr>
          <w:rFonts w:hint="eastAsia" w:ascii="楷体_GB2312" w:hAnsi="楷体_GB2312" w:eastAsia="楷体_GB2312" w:cs="楷体_GB2312"/>
          <w:sz w:val="32"/>
          <w:szCs w:val="32"/>
          <w:u w:val="none"/>
          <w:lang w:val="en-US" w:eastAsia="zh-CN"/>
        </w:rPr>
        <w:t>）</w:t>
      </w:r>
      <w:r>
        <w:rPr>
          <w:rFonts w:hint="eastAsia" w:ascii="仿宋_GB2312" w:hAnsi="仿宋_GB2312" w:eastAsia="仿宋_GB2312" w:cs="仿宋_GB2312"/>
          <w:sz w:val="32"/>
          <w:szCs w:val="32"/>
          <w:u w:val="none"/>
          <w:lang w:val="en-US" w:eastAsia="zh-CN"/>
        </w:rPr>
        <w:t>，采取书面闭卷笔试方式，考试时长60分钟。与合格性考试分卷分场举行。</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（二）专业基础知识考试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1.合格性考试。</w:t>
      </w:r>
      <w:r>
        <w:rPr>
          <w:rFonts w:hint="eastAsia" w:ascii="仿宋_GB2312" w:hAnsi="仿宋_GB2312" w:eastAsia="仿宋_GB2312" w:cs="仿宋_GB2312"/>
          <w:sz w:val="32"/>
          <w:szCs w:val="32"/>
          <w:u w:val="none"/>
          <w:lang w:val="en-US" w:eastAsia="zh-CN"/>
        </w:rPr>
        <w:t>使用专业基础知识卷I，采取书面闭卷笔试方式，考试时长90分钟。</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2.等级性考试。</w:t>
      </w:r>
      <w:r>
        <w:rPr>
          <w:rFonts w:hint="eastAsia" w:ascii="仿宋_GB2312" w:hAnsi="仿宋_GB2312" w:eastAsia="仿宋_GB2312" w:cs="仿宋_GB2312"/>
          <w:sz w:val="32"/>
          <w:szCs w:val="32"/>
          <w:u w:val="none"/>
          <w:lang w:val="en-US" w:eastAsia="zh-CN"/>
        </w:rPr>
        <w:t>使用专业基础知识卷Ⅱ，采取书面闭卷笔试方式，考试时长60分钟。与合格性考试分卷分场举行。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u w:val="none"/>
          <w:lang w:val="en-US" w:eastAsia="zh-CN"/>
        </w:rPr>
        <w:t>（三）专业技能考试。</w:t>
      </w:r>
      <w:r>
        <w:rPr>
          <w:rFonts w:hint="eastAsia" w:ascii="仿宋_GB2312" w:hAnsi="仿宋_GB2312" w:eastAsia="仿宋_GB2312" w:cs="仿宋_GB2312"/>
          <w:b w:val="0"/>
          <w:bCs w:val="0"/>
          <w:sz w:val="32"/>
          <w:szCs w:val="32"/>
          <w:u w:val="none"/>
          <w:lang w:val="en-US" w:eastAsia="zh-CN"/>
        </w:rPr>
        <w:t>专业技能合格性考试，采取现场实际操作或应用信息化综合实训平台等方式进行，具体</w:t>
      </w:r>
      <w:r>
        <w:rPr>
          <w:rFonts w:hint="eastAsia" w:ascii="仿宋_GB2312" w:hAnsi="仿宋_GB2312" w:eastAsia="仿宋_GB2312" w:cs="仿宋_GB2312"/>
          <w:sz w:val="32"/>
          <w:szCs w:val="32"/>
          <w:u w:val="none"/>
          <w:lang w:val="en-US" w:eastAsia="zh-CN"/>
        </w:rPr>
        <w:t>考试</w:t>
      </w:r>
      <w:r>
        <w:rPr>
          <w:rFonts w:hint="eastAsia" w:ascii="仿宋_GB2312" w:hAnsi="仿宋_GB2312" w:eastAsia="仿宋_GB2312" w:cs="仿宋_GB2312"/>
          <w:b w:val="0"/>
          <w:bCs w:val="0"/>
          <w:sz w:val="32"/>
          <w:szCs w:val="32"/>
          <w:u w:val="none"/>
          <w:lang w:val="en-US" w:eastAsia="zh-CN"/>
        </w:rPr>
        <w:t>方式、考试</w:t>
      </w:r>
      <w:r>
        <w:rPr>
          <w:rFonts w:hint="eastAsia" w:ascii="仿宋_GB2312" w:hAnsi="仿宋_GB2312" w:eastAsia="仿宋_GB2312" w:cs="仿宋_GB2312"/>
          <w:sz w:val="32"/>
          <w:szCs w:val="32"/>
          <w:u w:val="none"/>
          <w:lang w:val="en-US" w:eastAsia="zh-CN"/>
        </w:rPr>
        <w:t>时长由中职学校根据实际确定。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六、考试时间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2021年考试时间安排如下：</w:t>
      </w:r>
    </w:p>
    <w:tbl>
      <w:tblPr>
        <w:tblStyle w:val="7"/>
        <w:tblpPr w:leftFromText="180" w:rightFromText="180" w:vertAnchor="text" w:horzAnchor="page" w:tblpXSpec="center" w:tblpY="28"/>
        <w:tblOverlap w:val="never"/>
        <w:tblW w:w="872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94"/>
        <w:gridCol w:w="1980"/>
        <w:gridCol w:w="19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5" w:hRule="atLeast"/>
        </w:trPr>
        <w:tc>
          <w:tcPr>
            <w:tcW w:w="4794" w:type="dxa"/>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仿宋_GB2312" w:eastAsia="仿宋_GB2312"/>
                <w:b/>
                <w:sz w:val="30"/>
                <w:szCs w:val="30"/>
                <w:u w:val="none"/>
              </w:rPr>
            </w:pPr>
            <w:r>
              <w:rPr>
                <w:rFonts w:hint="eastAsia" w:ascii="仿宋_GB2312" w:eastAsia="仿宋_GB2312"/>
                <w:b/>
                <w:sz w:val="30"/>
                <w:szCs w:val="30"/>
                <w:u w:val="none"/>
              </w:rPr>
              <w:t>考试</w:t>
            </w:r>
            <w:r>
              <w:rPr>
                <w:rFonts w:hint="eastAsia" w:ascii="仿宋_GB2312" w:eastAsia="仿宋_GB2312"/>
                <w:b/>
                <w:sz w:val="30"/>
                <w:szCs w:val="30"/>
                <w:u w:val="none"/>
                <w:lang w:eastAsia="zh-CN"/>
              </w:rPr>
              <w:t>科目</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仿宋_GB2312" w:eastAsia="仿宋_GB2312"/>
                <w:b/>
                <w:sz w:val="30"/>
                <w:szCs w:val="30"/>
                <w:u w:val="none"/>
                <w:lang w:eastAsia="zh-CN"/>
              </w:rPr>
            </w:pPr>
            <w:r>
              <w:rPr>
                <w:rFonts w:hint="eastAsia" w:ascii="仿宋_GB2312" w:eastAsia="仿宋_GB2312"/>
                <w:b/>
                <w:sz w:val="30"/>
                <w:szCs w:val="30"/>
                <w:u w:val="none"/>
                <w:lang w:eastAsia="zh-CN"/>
              </w:rPr>
              <w:t>参加对象</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仿宋_GB2312" w:eastAsia="仿宋_GB2312"/>
                <w:b/>
                <w:sz w:val="30"/>
                <w:szCs w:val="30"/>
                <w:u w:val="none"/>
              </w:rPr>
            </w:pPr>
            <w:r>
              <w:rPr>
                <w:rFonts w:hint="eastAsia" w:ascii="仿宋_GB2312" w:eastAsia="仿宋_GB2312"/>
                <w:b/>
                <w:sz w:val="30"/>
                <w:szCs w:val="30"/>
                <w:u w:val="none"/>
              </w:rPr>
              <w:t>考试时间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0" w:hRule="atLeast"/>
        </w:trPr>
        <w:tc>
          <w:tcPr>
            <w:tcW w:w="4794"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rPr>
            </w:pPr>
            <w:r>
              <w:rPr>
                <w:rFonts w:hint="eastAsia" w:ascii="仿宋_GB2312" w:eastAsia="仿宋_GB2312"/>
                <w:sz w:val="28"/>
                <w:szCs w:val="28"/>
                <w:u w:val="none"/>
                <w:lang w:val="en-US" w:eastAsia="zh-CN"/>
              </w:rPr>
              <w:t>公共基础知识（</w:t>
            </w:r>
            <w:r>
              <w:rPr>
                <w:rFonts w:hint="eastAsia" w:ascii="仿宋_GB2312" w:eastAsia="仿宋_GB2312"/>
                <w:sz w:val="28"/>
                <w:szCs w:val="28"/>
                <w:u w:val="none"/>
              </w:rPr>
              <w:t>计算机应用基础</w:t>
            </w:r>
            <w:r>
              <w:rPr>
                <w:rFonts w:hint="eastAsia" w:ascii="仿宋_GB2312" w:eastAsia="仿宋_GB2312"/>
                <w:sz w:val="28"/>
                <w:szCs w:val="28"/>
                <w:u w:val="none"/>
                <w:lang w:eastAsia="zh-CN"/>
              </w:rPr>
              <w:t>）</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2020级学生</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2021年6月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4794"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eastAsia="仿宋_GB2312"/>
                <w:sz w:val="28"/>
                <w:szCs w:val="28"/>
                <w:u w:val="none"/>
              </w:rPr>
            </w:pPr>
            <w:r>
              <w:rPr>
                <w:rFonts w:hint="eastAsia" w:ascii="仿宋_GB2312" w:eastAsia="仿宋_GB2312"/>
                <w:sz w:val="28"/>
                <w:szCs w:val="28"/>
                <w:u w:val="none"/>
                <w:lang w:val="en-US" w:eastAsia="zh-CN"/>
              </w:rPr>
              <w:t>公共基础知识（德育、语文、数学、英语）综合卷I/公共基础知识（德育、语文、数学、英语）综合卷Ⅱ</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2019级学生</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rPr>
            </w:pPr>
            <w:r>
              <w:rPr>
                <w:rFonts w:hint="eastAsia" w:ascii="仿宋_GB2312" w:eastAsia="仿宋_GB2312"/>
                <w:sz w:val="28"/>
                <w:szCs w:val="28"/>
                <w:u w:val="none"/>
                <w:lang w:val="en-US" w:eastAsia="zh-CN"/>
              </w:rPr>
              <w:t>2021年6月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9" w:hRule="atLeast"/>
        </w:trPr>
        <w:tc>
          <w:tcPr>
            <w:tcW w:w="4794"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rPr>
            </w:pPr>
            <w:r>
              <w:rPr>
                <w:rFonts w:hint="eastAsia" w:ascii="仿宋_GB2312" w:hAnsi="仿宋_GB2312" w:eastAsia="仿宋_GB2312" w:cs="仿宋_GB2312"/>
                <w:sz w:val="28"/>
                <w:szCs w:val="28"/>
                <w:u w:val="none"/>
                <w:lang w:val="en-US" w:eastAsia="zh-CN"/>
              </w:rPr>
              <w:t>专业基础知识卷I/专业基础知识卷Ⅱ</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rPr>
            </w:pPr>
            <w:r>
              <w:rPr>
                <w:rFonts w:hint="eastAsia" w:ascii="仿宋_GB2312" w:eastAsia="仿宋_GB2312"/>
                <w:sz w:val="28"/>
                <w:szCs w:val="28"/>
                <w:u w:val="none"/>
                <w:lang w:val="en-US" w:eastAsia="zh-CN"/>
              </w:rPr>
              <w:t>2019级学生</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rPr>
            </w:pPr>
            <w:r>
              <w:rPr>
                <w:rFonts w:hint="eastAsia" w:ascii="仿宋_GB2312" w:eastAsia="仿宋_GB2312"/>
                <w:sz w:val="28"/>
                <w:szCs w:val="28"/>
                <w:u w:val="none"/>
                <w:lang w:val="en-US" w:eastAsia="zh-CN"/>
              </w:rPr>
              <w:t>2021年6月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9" w:hRule="atLeast"/>
        </w:trPr>
        <w:tc>
          <w:tcPr>
            <w:tcW w:w="4794"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专业技能</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2019级学生</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 xml:space="preserve"> 2021年12月</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公共基础</w:t>
      </w:r>
      <w:r>
        <w:rPr>
          <w:rFonts w:hint="eastAsia" w:ascii="仿宋_GB2312" w:hAnsi="仿宋_GB2312" w:eastAsia="仿宋_GB2312" w:cs="仿宋_GB2312"/>
          <w:b w:val="0"/>
          <w:bCs w:val="0"/>
          <w:sz w:val="32"/>
          <w:szCs w:val="32"/>
          <w:u w:val="none"/>
          <w:lang w:val="en-US" w:eastAsia="zh-CN"/>
        </w:rPr>
        <w:t>知识</w:t>
      </w:r>
      <w:r>
        <w:rPr>
          <w:rFonts w:hint="eastAsia" w:ascii="仿宋_GB2312" w:hAnsi="仿宋_GB2312" w:eastAsia="仿宋_GB2312" w:cs="仿宋_GB2312"/>
          <w:color w:val="auto"/>
          <w:sz w:val="32"/>
          <w:szCs w:val="32"/>
          <w:u w:val="none"/>
          <w:lang w:val="en-US" w:eastAsia="zh-CN"/>
        </w:rPr>
        <w:t>考试（计算机应用基础）安排在一年级下学期，公共基础</w:t>
      </w:r>
      <w:r>
        <w:rPr>
          <w:rFonts w:hint="eastAsia" w:ascii="仿宋_GB2312" w:hAnsi="仿宋_GB2312" w:eastAsia="仿宋_GB2312" w:cs="仿宋_GB2312"/>
          <w:b w:val="0"/>
          <w:bCs w:val="0"/>
          <w:sz w:val="32"/>
          <w:szCs w:val="32"/>
          <w:u w:val="none"/>
          <w:lang w:val="en-US" w:eastAsia="zh-CN"/>
        </w:rPr>
        <w:t>知识</w:t>
      </w:r>
      <w:r>
        <w:rPr>
          <w:rFonts w:hint="eastAsia" w:ascii="仿宋_GB2312" w:hAnsi="仿宋_GB2312" w:eastAsia="仿宋_GB2312" w:cs="仿宋_GB2312"/>
          <w:color w:val="auto"/>
          <w:sz w:val="32"/>
          <w:szCs w:val="32"/>
          <w:u w:val="none"/>
          <w:lang w:val="en-US" w:eastAsia="zh-CN"/>
        </w:rPr>
        <w:t>考试（德育、语文、数学、英语）安排在二年级下学期，专业基础知识考试安排在二年级下学期，专业技能考试安排在三年级上学期。</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七、成绩评定与使用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（一）成绩评定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1.合格性考试。</w:t>
      </w:r>
      <w:r>
        <w:rPr>
          <w:rFonts w:hint="eastAsia" w:ascii="仿宋_GB2312" w:hAnsi="仿宋_GB2312" w:eastAsia="仿宋_GB2312" w:cs="仿宋_GB2312"/>
          <w:sz w:val="32"/>
          <w:szCs w:val="32"/>
          <w:u w:val="none"/>
          <w:lang w:val="en-US" w:eastAsia="zh-CN"/>
        </w:rPr>
        <w:t>公共基础知识综合卷</w:t>
      </w:r>
      <w:r>
        <w:rPr>
          <w:rFonts w:hint="eastAsia" w:ascii="楷体_GB2312" w:hAnsi="楷体_GB2312" w:eastAsia="楷体_GB2312" w:cs="楷体_GB2312"/>
          <w:sz w:val="32"/>
          <w:szCs w:val="32"/>
          <w:u w:val="none"/>
          <w:lang w:val="en-US" w:eastAsia="zh-CN"/>
        </w:rPr>
        <w:t>I</w:t>
      </w:r>
      <w:r>
        <w:rPr>
          <w:rFonts w:hint="eastAsia" w:ascii="仿宋_GB2312" w:hAnsi="仿宋_GB2312" w:eastAsia="仿宋_GB2312" w:cs="仿宋_GB2312"/>
          <w:sz w:val="32"/>
          <w:szCs w:val="32"/>
          <w:u w:val="none"/>
          <w:lang w:val="en-US" w:eastAsia="zh-CN"/>
        </w:rPr>
        <w:t>满分值200分，其中</w:t>
      </w:r>
      <w:r>
        <w:rPr>
          <w:rFonts w:hint="eastAsia" w:ascii="仿宋_GB2312" w:hAnsi="仿宋_GB2312" w:eastAsia="仿宋_GB2312" w:cs="仿宋_GB2312"/>
          <w:color w:val="auto"/>
          <w:sz w:val="32"/>
          <w:szCs w:val="32"/>
          <w:u w:val="none"/>
          <w:lang w:val="en-US" w:eastAsia="zh-CN"/>
        </w:rPr>
        <w:t>德育40分、语文60分、数学60分、英语40分；</w:t>
      </w:r>
      <w:r>
        <w:rPr>
          <w:rFonts w:hint="eastAsia" w:ascii="仿宋_GB2312" w:hAnsi="仿宋_GB2312" w:eastAsia="仿宋_GB2312" w:cs="仿宋_GB2312"/>
          <w:sz w:val="32"/>
          <w:szCs w:val="32"/>
          <w:u w:val="none"/>
          <w:lang w:val="en-US" w:eastAsia="zh-CN"/>
        </w:rPr>
        <w:t>公共基础知识（计算机应用基础）满分值100分。专业基础知识卷</w:t>
      </w:r>
      <w:r>
        <w:rPr>
          <w:rFonts w:hint="eastAsia" w:ascii="楷体_GB2312" w:hAnsi="楷体_GB2312" w:eastAsia="楷体_GB2312" w:cs="楷体_GB2312"/>
          <w:sz w:val="32"/>
          <w:szCs w:val="32"/>
          <w:u w:val="none"/>
          <w:lang w:val="en-US" w:eastAsia="zh-CN"/>
        </w:rPr>
        <w:t>I</w:t>
      </w:r>
      <w:r>
        <w:rPr>
          <w:rFonts w:hint="eastAsia" w:ascii="仿宋_GB2312" w:hAnsi="仿宋_GB2312" w:eastAsia="仿宋_GB2312" w:cs="仿宋_GB2312"/>
          <w:sz w:val="32"/>
          <w:szCs w:val="32"/>
          <w:u w:val="none"/>
          <w:lang w:val="en-US" w:eastAsia="zh-CN"/>
        </w:rPr>
        <w:t>满分值150分。专业技能满分值100分。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合格性考试各个科目根据原始成绩划定5个等级，由高到低分为A、B、C、D、E，原则上A等级约10%，B等级约35%，C等级约30%，D、E等级约25%，其中E等级为不合格、比例不超过5%。合格性考试不合格的（不含缺考），由中职学校组织补考，补考通过的认定为D等级，仅用于毕业资格认定。补考方案由中职学校报设区市教育局</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u w:val="none"/>
          <w:lang w:val="en-US" w:eastAsia="zh-CN"/>
        </w:rPr>
        <w:t>平潭综合实验区社会事业局备案后实施</w:t>
      </w:r>
      <w:r>
        <w:rPr>
          <w:rFonts w:hint="eastAsia" w:ascii="仿宋_GB2312" w:hAnsi="仿宋_GB2312" w:eastAsia="仿宋_GB2312" w:cs="仿宋_GB2312"/>
          <w:b w:val="0"/>
          <w:bCs w:val="0"/>
          <w:sz w:val="32"/>
          <w:szCs w:val="32"/>
          <w:u w:val="none"/>
          <w:lang w:val="en-US" w:eastAsia="zh-CN"/>
        </w:rPr>
        <w:t>，省属中职学校报省教育厅</w:t>
      </w:r>
      <w:r>
        <w:rPr>
          <w:rFonts w:hint="eastAsia" w:ascii="仿宋_GB2312" w:hAnsi="仿宋_GB2312" w:eastAsia="仿宋_GB2312" w:cs="仿宋_GB2312"/>
          <w:sz w:val="32"/>
          <w:szCs w:val="32"/>
          <w:u w:val="none"/>
          <w:lang w:val="en-US" w:eastAsia="zh-CN"/>
        </w:rPr>
        <w:t>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2.等级性考试。</w:t>
      </w:r>
      <w:r>
        <w:rPr>
          <w:rFonts w:hint="eastAsia" w:ascii="仿宋_GB2312" w:hAnsi="仿宋_GB2312" w:eastAsia="仿宋_GB2312" w:cs="仿宋_GB2312"/>
          <w:sz w:val="32"/>
          <w:szCs w:val="32"/>
          <w:u w:val="none"/>
          <w:lang w:val="en-US" w:eastAsia="zh-CN"/>
        </w:rPr>
        <w:t>公共基础知识综合卷Ⅱ满分值100分，其中</w:t>
      </w:r>
      <w:r>
        <w:rPr>
          <w:rFonts w:hint="eastAsia" w:ascii="仿宋_GB2312" w:hAnsi="仿宋_GB2312" w:eastAsia="仿宋_GB2312" w:cs="仿宋_GB2312"/>
          <w:color w:val="auto"/>
          <w:sz w:val="32"/>
          <w:szCs w:val="32"/>
          <w:u w:val="none"/>
          <w:lang w:val="en-US" w:eastAsia="zh-CN"/>
        </w:rPr>
        <w:t>德育20分、语文30分、数学30分、英语20分</w:t>
      </w:r>
      <w:r>
        <w:rPr>
          <w:rFonts w:hint="eastAsia" w:ascii="仿宋_GB2312" w:hAnsi="仿宋_GB2312" w:eastAsia="仿宋_GB2312" w:cs="仿宋_GB2312"/>
          <w:sz w:val="32"/>
          <w:szCs w:val="32"/>
          <w:u w:val="none"/>
          <w:lang w:val="en-US" w:eastAsia="zh-CN"/>
        </w:rPr>
        <w:t>。专业基础知识卷Ⅱ满分值100分。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对于</w:t>
      </w:r>
      <w:r>
        <w:rPr>
          <w:rFonts w:hint="eastAsia" w:ascii="仿宋_GB2312" w:eastAsia="仿宋_GB2312"/>
          <w:sz w:val="32"/>
          <w:szCs w:val="32"/>
          <w:u w:val="none"/>
        </w:rPr>
        <w:t>获得全国职业院校技能大赛一、二、三等奖和全省职业院校技能大赛一等奖</w:t>
      </w:r>
      <w:r>
        <w:rPr>
          <w:rFonts w:hint="eastAsia" w:ascii="仿宋_GB2312" w:hAnsi="仿宋_GB2312" w:eastAsia="仿宋_GB2312" w:cs="仿宋_GB2312"/>
          <w:kern w:val="2"/>
          <w:sz w:val="32"/>
          <w:szCs w:val="32"/>
          <w:u w:val="none"/>
          <w:lang w:val="en-US" w:eastAsia="zh-CN" w:bidi="ar-SA"/>
        </w:rPr>
        <w:t>的学生，合格性考试</w:t>
      </w:r>
      <w:r>
        <w:rPr>
          <w:rFonts w:hint="eastAsia" w:ascii="仿宋_GB2312" w:hAnsi="仿宋_GB2312" w:eastAsia="仿宋_GB2312" w:cs="仿宋_GB2312"/>
          <w:sz w:val="32"/>
          <w:szCs w:val="32"/>
          <w:u w:val="none"/>
          <w:lang w:val="en-US" w:eastAsia="zh-CN"/>
        </w:rPr>
        <w:t>各个科目</w:t>
      </w:r>
      <w:r>
        <w:rPr>
          <w:rFonts w:hint="eastAsia" w:ascii="仿宋_GB2312" w:hAnsi="仿宋_GB2312" w:eastAsia="仿宋_GB2312" w:cs="仿宋_GB2312"/>
          <w:kern w:val="2"/>
          <w:sz w:val="32"/>
          <w:szCs w:val="32"/>
          <w:u w:val="none"/>
          <w:lang w:val="en-US" w:eastAsia="zh-CN" w:bidi="ar-SA"/>
        </w:rPr>
        <w:t>成绩认定为A等级；</w:t>
      </w:r>
      <w:r>
        <w:rPr>
          <w:rFonts w:hint="eastAsia" w:ascii="仿宋_GB2312" w:eastAsia="仿宋_GB2312"/>
          <w:sz w:val="32"/>
          <w:szCs w:val="32"/>
          <w:u w:val="none"/>
        </w:rPr>
        <w:t>获得全省职业院校技能大赛</w:t>
      </w:r>
      <w:r>
        <w:rPr>
          <w:rFonts w:hint="eastAsia" w:ascii="仿宋_GB2312" w:eastAsia="仿宋_GB2312"/>
          <w:sz w:val="32"/>
          <w:szCs w:val="32"/>
          <w:u w:val="none"/>
          <w:lang w:eastAsia="zh-CN"/>
        </w:rPr>
        <w:t>二、三</w:t>
      </w:r>
      <w:r>
        <w:rPr>
          <w:rFonts w:hint="eastAsia" w:ascii="仿宋_GB2312" w:eastAsia="仿宋_GB2312"/>
          <w:sz w:val="32"/>
          <w:szCs w:val="32"/>
          <w:u w:val="none"/>
        </w:rPr>
        <w:t>等奖</w:t>
      </w:r>
      <w:r>
        <w:rPr>
          <w:rFonts w:hint="eastAsia" w:ascii="仿宋_GB2312" w:hAnsi="仿宋_GB2312" w:eastAsia="仿宋_GB2312" w:cs="仿宋_GB2312"/>
          <w:kern w:val="2"/>
          <w:sz w:val="32"/>
          <w:szCs w:val="32"/>
          <w:u w:val="none"/>
          <w:lang w:val="en-US" w:eastAsia="zh-CN" w:bidi="ar-SA"/>
        </w:rPr>
        <w:t>的学生，专业基础知识、专业技能合格性考试成绩认定为A等级；获得全省</w:t>
      </w:r>
      <w:r>
        <w:rPr>
          <w:rFonts w:hint="eastAsia" w:ascii="仿宋_GB2312" w:eastAsia="仿宋_GB2312"/>
          <w:sz w:val="32"/>
          <w:szCs w:val="32"/>
          <w:u w:val="none"/>
        </w:rPr>
        <w:t>职业院校</w:t>
      </w:r>
      <w:r>
        <w:rPr>
          <w:rFonts w:hint="eastAsia" w:ascii="仿宋_GB2312" w:hAnsi="仿宋_GB2312" w:eastAsia="仿宋_GB2312" w:cs="仿宋_GB2312"/>
          <w:kern w:val="2"/>
          <w:sz w:val="32"/>
          <w:szCs w:val="32"/>
          <w:u w:val="none"/>
          <w:lang w:val="en-US" w:eastAsia="zh-CN" w:bidi="ar-SA"/>
        </w:rPr>
        <w:t>技能大赛优秀奖的学生，专业基础知识合格性考试成绩认定为B等级，专业技能合格性考试成绩认定为A等级。技能大赛获奖学生合格性考试成绩等级认定仅作为毕业依据。</w:t>
      </w:r>
      <w:r>
        <w:rPr>
          <w:rFonts w:hint="eastAsia" w:ascii="仿宋_GB2312" w:hAnsi="仿宋_GB2312" w:eastAsia="仿宋_GB2312" w:cs="仿宋_GB2312"/>
          <w:sz w:val="32"/>
          <w:szCs w:val="32"/>
          <w:u w:val="none"/>
          <w:lang w:val="en-US" w:eastAsia="zh-CN"/>
        </w:rPr>
        <w:t>有升学意愿的</w:t>
      </w:r>
      <w:r>
        <w:rPr>
          <w:rFonts w:hint="eastAsia" w:ascii="仿宋_GB2312" w:hAnsi="仿宋_GB2312" w:eastAsia="仿宋_GB2312" w:cs="仿宋_GB2312"/>
          <w:kern w:val="2"/>
          <w:sz w:val="32"/>
          <w:szCs w:val="32"/>
          <w:u w:val="none"/>
          <w:lang w:val="en-US" w:eastAsia="zh-CN" w:bidi="ar-SA"/>
        </w:rPr>
        <w:t>技能大赛获奖</w:t>
      </w:r>
      <w:r>
        <w:rPr>
          <w:rFonts w:hint="eastAsia" w:ascii="仿宋_GB2312" w:hAnsi="仿宋_GB2312" w:eastAsia="仿宋_GB2312" w:cs="仿宋_GB2312"/>
          <w:sz w:val="32"/>
          <w:szCs w:val="32"/>
          <w:u w:val="none"/>
          <w:lang w:val="en-US" w:eastAsia="zh-CN"/>
        </w:rPr>
        <w:t>学生</w:t>
      </w:r>
      <w:r>
        <w:rPr>
          <w:rFonts w:hint="eastAsia" w:ascii="仿宋_GB2312" w:hAnsi="仿宋_GB2312" w:eastAsia="仿宋_GB2312" w:cs="仿宋_GB2312"/>
          <w:kern w:val="2"/>
          <w:sz w:val="32"/>
          <w:szCs w:val="32"/>
          <w:u w:val="none"/>
          <w:lang w:val="en-US" w:eastAsia="zh-CN" w:bidi="ar-SA"/>
        </w:rPr>
        <w:t>仍需参加合格性考试和等级性考试，有关升学照顾政策按照</w:t>
      </w:r>
      <w:r>
        <w:rPr>
          <w:rFonts w:hint="eastAsia" w:ascii="仿宋_GB2312" w:hAnsi="仿宋_GB2312" w:eastAsia="仿宋_GB2312" w:cs="仿宋_GB2312"/>
          <w:sz w:val="32"/>
          <w:szCs w:val="32"/>
          <w:u w:val="none"/>
          <w:lang w:val="en-US" w:eastAsia="zh-CN"/>
        </w:rPr>
        <w:t>《福建省教育厅关于印发福建省高职院校分类考试招生改革实施办法的通知》（闽教学〔2019〕35号）有关录取照顾政策执行</w:t>
      </w:r>
      <w:r>
        <w:rPr>
          <w:rFonts w:hint="eastAsia" w:ascii="仿宋_GB2312" w:hAnsi="仿宋_GB2312" w:eastAsia="仿宋_GB2312" w:cs="仿宋_GB2312"/>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（二）成绩使用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合格性考试成绩作为评估中职学校办学质量重要依据，是中职学生毕业的依据之一。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公共基础知识（德育、语文、数学、英语）和专业基础知识的合格性考试、等级性考试成绩作为高职院校、应用型本科院校招收中等职业学校毕业生的依据之一。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八、其他事项</w:t>
      </w:r>
    </w:p>
    <w:p>
      <w:pPr>
        <w:pStyle w:val="3"/>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eastAsia" w:ascii="仿宋_GB2312" w:eastAsia="仿宋_GB2312"/>
          <w:sz w:val="32"/>
          <w:szCs w:val="32"/>
          <w:u w:val="none"/>
        </w:rPr>
      </w:pPr>
      <w:r>
        <w:rPr>
          <w:rFonts w:hint="eastAsia" w:ascii="楷体_GB2312" w:hAnsi="楷体_GB2312" w:eastAsia="楷体_GB2312" w:cs="楷体_GB2312"/>
          <w:b/>
          <w:bCs/>
          <w:kern w:val="2"/>
          <w:sz w:val="32"/>
          <w:szCs w:val="32"/>
          <w:u w:val="none"/>
          <w:lang w:val="en-US" w:eastAsia="zh-CN" w:bidi="ar-SA"/>
        </w:rPr>
        <w:t>（一）</w:t>
      </w:r>
      <w:r>
        <w:rPr>
          <w:rFonts w:hint="eastAsia" w:ascii="仿宋_GB2312" w:eastAsia="仿宋_GB2312"/>
          <w:sz w:val="32"/>
          <w:szCs w:val="32"/>
          <w:u w:val="none"/>
        </w:rPr>
        <w:t>各级教育行政部门要高度重视</w:t>
      </w:r>
      <w:r>
        <w:rPr>
          <w:rFonts w:hint="eastAsia" w:ascii="仿宋_GB2312" w:eastAsia="仿宋_GB2312"/>
          <w:sz w:val="32"/>
          <w:szCs w:val="32"/>
          <w:u w:val="none"/>
          <w:lang w:eastAsia="zh-CN"/>
        </w:rPr>
        <w:t>，加强指导和</w:t>
      </w:r>
      <w:r>
        <w:rPr>
          <w:rFonts w:hint="eastAsia" w:ascii="仿宋_GB2312" w:hAnsi="Times New Roman" w:eastAsia="仿宋_GB2312" w:cs="Times New Roman"/>
          <w:kern w:val="2"/>
          <w:sz w:val="32"/>
          <w:szCs w:val="32"/>
          <w:u w:val="none"/>
          <w:lang w:val="en-US" w:eastAsia="zh-CN" w:bidi="ar-SA"/>
        </w:rPr>
        <w:t>监督</w:t>
      </w:r>
      <w:r>
        <w:rPr>
          <w:rFonts w:hint="eastAsia" w:ascii="仿宋_GB2312" w:eastAsia="仿宋_GB2312"/>
          <w:sz w:val="32"/>
          <w:szCs w:val="32"/>
          <w:u w:val="none"/>
          <w:lang w:eastAsia="zh-CN"/>
        </w:rPr>
        <w:t>，切实做好本地区</w:t>
      </w:r>
      <w:r>
        <w:rPr>
          <w:rFonts w:hint="eastAsia" w:ascii="仿宋_GB2312" w:hAnsi="仿宋_GB2312" w:eastAsia="仿宋_GB2312" w:cs="仿宋_GB2312"/>
          <w:sz w:val="32"/>
          <w:szCs w:val="32"/>
          <w:u w:val="none"/>
          <w:lang w:val="en-US" w:eastAsia="zh-CN"/>
        </w:rPr>
        <w:t>中职学业水平考试</w:t>
      </w:r>
      <w:r>
        <w:rPr>
          <w:rFonts w:hint="eastAsia" w:ascii="仿宋_GB2312" w:eastAsia="仿宋_GB2312"/>
          <w:sz w:val="32"/>
          <w:szCs w:val="32"/>
          <w:u w:val="none"/>
          <w:lang w:eastAsia="zh-CN"/>
        </w:rPr>
        <w:t>组织</w:t>
      </w:r>
      <w:r>
        <w:rPr>
          <w:rFonts w:hint="eastAsia" w:ascii="仿宋_GB2312" w:hAnsi="仿宋_GB2312" w:eastAsia="仿宋_GB2312" w:cs="仿宋_GB2312"/>
          <w:sz w:val="32"/>
          <w:szCs w:val="32"/>
          <w:u w:val="none"/>
          <w:lang w:val="en-US" w:eastAsia="zh-CN"/>
        </w:rPr>
        <w:t>工作。各中职学校要</w:t>
      </w:r>
      <w:r>
        <w:rPr>
          <w:rFonts w:hint="eastAsia" w:ascii="仿宋_GB2312" w:eastAsia="仿宋_GB2312"/>
          <w:sz w:val="32"/>
          <w:szCs w:val="32"/>
          <w:u w:val="none"/>
        </w:rPr>
        <w:t>认真组织实施，</w:t>
      </w:r>
      <w:r>
        <w:rPr>
          <w:rFonts w:hint="eastAsia" w:ascii="仿宋_GB2312" w:eastAsia="仿宋_GB2312"/>
          <w:sz w:val="32"/>
          <w:szCs w:val="32"/>
          <w:u w:val="none"/>
          <w:lang w:eastAsia="zh-CN"/>
        </w:rPr>
        <w:t>加强条件保障，严格考试纪律，</w:t>
      </w:r>
      <w:r>
        <w:rPr>
          <w:rFonts w:hint="eastAsia" w:ascii="仿宋_GB2312" w:eastAsia="仿宋_GB2312"/>
          <w:sz w:val="32"/>
          <w:szCs w:val="32"/>
          <w:u w:val="none"/>
        </w:rPr>
        <w:t>确保</w:t>
      </w:r>
      <w:r>
        <w:rPr>
          <w:rFonts w:hint="eastAsia" w:ascii="仿宋_GB2312" w:hAnsi="仿宋_GB2312" w:eastAsia="仿宋_GB2312" w:cs="仿宋_GB2312"/>
          <w:sz w:val="32"/>
          <w:szCs w:val="32"/>
          <w:u w:val="none"/>
          <w:lang w:val="en-US" w:eastAsia="zh-CN"/>
        </w:rPr>
        <w:t>中职学业水平</w:t>
      </w:r>
      <w:r>
        <w:rPr>
          <w:rFonts w:hint="eastAsia" w:ascii="仿宋_GB2312" w:eastAsia="仿宋_GB2312"/>
          <w:sz w:val="32"/>
          <w:szCs w:val="32"/>
          <w:u w:val="none"/>
        </w:rPr>
        <w:t>考试工作顺利开展。</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kern w:val="2"/>
          <w:sz w:val="32"/>
          <w:szCs w:val="32"/>
          <w:u w:val="none"/>
          <w:lang w:val="en-US" w:eastAsia="zh-CN" w:bidi="ar-SA"/>
        </w:rPr>
        <w:t>（二）</w:t>
      </w:r>
      <w:r>
        <w:rPr>
          <w:rFonts w:hint="eastAsia" w:ascii="仿宋_GB2312" w:hAnsi="仿宋_GB2312" w:eastAsia="仿宋_GB2312" w:cs="仿宋_GB2312"/>
          <w:kern w:val="2"/>
          <w:sz w:val="32"/>
          <w:szCs w:val="32"/>
          <w:u w:val="none"/>
          <w:lang w:val="en-US" w:eastAsia="zh-CN" w:bidi="ar-SA"/>
        </w:rPr>
        <w:t>一年制中职学生（普通高中或同等学力者起点的）可免于参加中职学业水平考试中的</w:t>
      </w:r>
      <w:r>
        <w:rPr>
          <w:rFonts w:hint="eastAsia" w:ascii="仿宋_GB2312" w:hAnsi="仿宋_GB2312" w:eastAsia="仿宋_GB2312" w:cs="仿宋_GB2312"/>
          <w:color w:val="auto"/>
          <w:sz w:val="32"/>
          <w:szCs w:val="32"/>
          <w:u w:val="none"/>
          <w:lang w:val="en-US" w:eastAsia="zh-CN"/>
        </w:rPr>
        <w:t>公共基础</w:t>
      </w:r>
      <w:r>
        <w:rPr>
          <w:rFonts w:hint="eastAsia" w:ascii="仿宋_GB2312" w:hAnsi="仿宋_GB2312" w:eastAsia="仿宋_GB2312" w:cs="仿宋_GB2312"/>
          <w:b w:val="0"/>
          <w:bCs w:val="0"/>
          <w:sz w:val="32"/>
          <w:szCs w:val="32"/>
          <w:u w:val="none"/>
          <w:lang w:val="en-US" w:eastAsia="zh-CN"/>
        </w:rPr>
        <w:t>知识</w:t>
      </w:r>
      <w:r>
        <w:rPr>
          <w:rFonts w:hint="eastAsia" w:ascii="仿宋_GB2312" w:hAnsi="仿宋_GB2312" w:eastAsia="仿宋_GB2312" w:cs="仿宋_GB2312"/>
          <w:kern w:val="2"/>
          <w:sz w:val="32"/>
          <w:szCs w:val="32"/>
          <w:u w:val="none"/>
          <w:lang w:val="en-US" w:eastAsia="zh-CN" w:bidi="ar-SA"/>
        </w:rPr>
        <w:t>合格性考试，但须参加</w:t>
      </w:r>
      <w:r>
        <w:rPr>
          <w:rFonts w:hint="eastAsia" w:ascii="仿宋_GB2312" w:hAnsi="仿宋_GB2312" w:eastAsia="仿宋_GB2312" w:cs="仿宋_GB2312"/>
          <w:color w:val="auto"/>
          <w:sz w:val="32"/>
          <w:szCs w:val="32"/>
          <w:u w:val="none"/>
          <w:lang w:val="en-US" w:eastAsia="zh-CN"/>
        </w:rPr>
        <w:t>专业基础知识、专业技能</w:t>
      </w:r>
      <w:r>
        <w:rPr>
          <w:rFonts w:hint="eastAsia" w:ascii="仿宋_GB2312" w:hAnsi="仿宋_GB2312" w:eastAsia="仿宋_GB2312" w:cs="仿宋_GB2312"/>
          <w:kern w:val="2"/>
          <w:sz w:val="32"/>
          <w:szCs w:val="32"/>
          <w:u w:val="none"/>
          <w:lang w:val="en-US" w:eastAsia="zh-CN" w:bidi="ar-SA"/>
        </w:rPr>
        <w:t>合格性考试，考试成绩仅作为</w:t>
      </w:r>
      <w:r>
        <w:rPr>
          <w:rFonts w:hint="eastAsia" w:ascii="仿宋_GB2312" w:hAnsi="仿宋_GB2312" w:eastAsia="仿宋_GB2312" w:cs="仿宋_GB2312"/>
          <w:sz w:val="32"/>
          <w:szCs w:val="32"/>
          <w:u w:val="none"/>
          <w:lang w:val="en-US" w:eastAsia="zh-CN"/>
        </w:rPr>
        <w:t>毕业依据之一。</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2018级、2019级中职学生在2019年、2020年合格性考试中缺考的（含未报考的），须参加2021年相应科目的合格性考试，考试成绩作为毕业依据之一。</w:t>
      </w:r>
    </w:p>
    <w:p>
      <w:pPr>
        <w:keepNext w:val="0"/>
        <w:keepLines w:val="0"/>
        <w:pageBreakBefore w:val="0"/>
        <w:widowControl w:val="0"/>
        <w:numPr>
          <w:ilvl w:val="0"/>
          <w:numId w:val="0"/>
        </w:numPr>
        <w:tabs>
          <w:tab w:val="left" w:pos="786"/>
        </w:tabs>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sz w:val="32"/>
          <w:szCs w:val="32"/>
          <w:u w:val="none"/>
          <w:lang w:val="en-US" w:eastAsia="zh-CN"/>
        </w:rPr>
        <w:t>（三）</w:t>
      </w:r>
      <w:r>
        <w:rPr>
          <w:rFonts w:hint="eastAsia" w:ascii="仿宋_GB2312" w:hAnsi="仿宋_GB2312" w:eastAsia="仿宋_GB2312" w:cs="仿宋_GB2312"/>
          <w:sz w:val="32"/>
          <w:szCs w:val="32"/>
          <w:u w:val="none"/>
          <w:lang w:val="en-US" w:eastAsia="zh-CN"/>
        </w:rPr>
        <w:t>有意愿参加2022年高职分类考试招生的</w:t>
      </w:r>
      <w:r>
        <w:rPr>
          <w:rFonts w:hint="eastAsia" w:ascii="仿宋_GB2312" w:hAnsi="仿宋_GB2312" w:eastAsia="仿宋_GB2312" w:cs="仿宋_GB2312"/>
          <w:color w:val="auto"/>
          <w:sz w:val="32"/>
          <w:szCs w:val="32"/>
          <w:u w:val="none"/>
          <w:lang w:val="en-US" w:eastAsia="zh-CN"/>
        </w:rPr>
        <w:t>中职学校一年制学生、中职学校2018级学生、</w:t>
      </w:r>
      <w:r>
        <w:rPr>
          <w:rFonts w:hint="eastAsia" w:ascii="仿宋_GB2312" w:hAnsi="仿宋_GB2312" w:eastAsia="仿宋_GB2312" w:cs="仿宋_GB2312"/>
          <w:sz w:val="32"/>
          <w:szCs w:val="32"/>
          <w:u w:val="none"/>
          <w:lang w:val="en-US" w:eastAsia="zh-CN"/>
        </w:rPr>
        <w:t>技工学校在校生和社会人员</w:t>
      </w:r>
      <w:r>
        <w:rPr>
          <w:rFonts w:hint="eastAsia" w:ascii="仿宋_GB2312" w:hAnsi="仿宋_GB2312" w:eastAsia="仿宋_GB2312" w:cs="仿宋_GB2312"/>
          <w:color w:val="auto"/>
          <w:sz w:val="32"/>
          <w:szCs w:val="32"/>
          <w:u w:val="none"/>
          <w:lang w:val="en-US" w:eastAsia="zh-CN"/>
        </w:rPr>
        <w:t>，须参加2021年中职学业水平考试的公共基础知识（德育、语文、数学、英语）和专业基础知识的合格性考试、等级性考试。</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（四）</w:t>
      </w:r>
      <w:r>
        <w:rPr>
          <w:rFonts w:hint="eastAsia" w:ascii="仿宋_GB2312" w:hAnsi="仿宋_GB2312" w:eastAsia="仿宋_GB2312" w:cs="仿宋_GB2312"/>
          <w:kern w:val="2"/>
          <w:sz w:val="32"/>
          <w:szCs w:val="32"/>
          <w:u w:val="none"/>
          <w:lang w:val="en-US" w:eastAsia="zh-CN" w:bidi="ar-SA"/>
        </w:rPr>
        <w:t>因休学、留级等原因转入2019级、2020级及以后的中职学生，须参加相应年级</w:t>
      </w:r>
      <w:r>
        <w:rPr>
          <w:rFonts w:hint="eastAsia" w:ascii="仿宋_GB2312" w:hAnsi="仿宋_GB2312" w:eastAsia="仿宋_GB2312" w:cs="仿宋_GB2312"/>
          <w:color w:val="auto"/>
          <w:sz w:val="32"/>
          <w:szCs w:val="32"/>
          <w:u w:val="none"/>
          <w:lang w:val="en-US" w:eastAsia="zh-CN"/>
        </w:rPr>
        <w:t>合格性</w:t>
      </w:r>
      <w:r>
        <w:rPr>
          <w:rFonts w:hint="eastAsia" w:ascii="仿宋_GB2312" w:hAnsi="仿宋_GB2312" w:eastAsia="仿宋_GB2312" w:cs="仿宋_GB2312"/>
          <w:kern w:val="2"/>
          <w:sz w:val="32"/>
          <w:szCs w:val="32"/>
          <w:u w:val="none"/>
          <w:lang w:val="en-US" w:eastAsia="zh-CN" w:bidi="ar-SA"/>
        </w:rPr>
        <w:t>考试，</w:t>
      </w:r>
      <w:r>
        <w:rPr>
          <w:rFonts w:hint="eastAsia" w:ascii="仿宋_GB2312" w:hAnsi="仿宋_GB2312" w:eastAsia="仿宋_GB2312" w:cs="仿宋_GB2312"/>
          <w:sz w:val="32"/>
          <w:szCs w:val="32"/>
          <w:u w:val="none"/>
          <w:lang w:val="en-US" w:eastAsia="zh-CN"/>
        </w:rPr>
        <w:t>有升学意愿的中职学生还需参加等级性考试。</w:t>
      </w:r>
    </w:p>
    <w:p>
      <w:pPr>
        <w:keepNext w:val="0"/>
        <w:keepLines w:val="0"/>
        <w:pageBreakBefore w:val="0"/>
        <w:widowControl w:val="0"/>
        <w:numPr>
          <w:ilvl w:val="0"/>
          <w:numId w:val="0"/>
        </w:numPr>
        <w:tabs>
          <w:tab w:val="left" w:pos="786"/>
        </w:tabs>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（五）</w:t>
      </w:r>
      <w:r>
        <w:rPr>
          <w:rFonts w:hint="eastAsia" w:ascii="仿宋_GB2312" w:hAnsi="仿宋_GB2312" w:eastAsia="仿宋_GB2312" w:cs="仿宋_GB2312"/>
          <w:kern w:val="2"/>
          <w:sz w:val="32"/>
          <w:szCs w:val="32"/>
          <w:u w:val="none"/>
          <w:lang w:val="en-US" w:eastAsia="zh-CN" w:bidi="ar-SA"/>
        </w:rPr>
        <w:t>五年制高等职业教育“三二分段制”学生，有意愿在完成前三年学业后提前就业的，经高职院校和联办中职学校同意，并报教育主管部门备案后，可报名同一年级中职学生参加的合格性考试，但不可参加等级性考试。中职学业水平合格性考试成绩合格且实习考核合格，符合中职学校学生毕业条件的，由所在中职学校颁发中职毕业证书。</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right="0" w:rightChars="0" w:firstLine="643" w:firstLineChars="200"/>
        <w:jc w:val="left"/>
        <w:textAlignment w:val="auto"/>
        <w:rPr>
          <w:rFonts w:hint="eastAsia" w:ascii="仿宋_GB2312" w:hAnsi="仿宋_GB2312" w:eastAsia="仿宋_GB2312" w:cs="仿宋_GB2312"/>
          <w:sz w:val="32"/>
          <w:szCs w:val="32"/>
          <w:u w:val="none"/>
          <w:lang w:val="en-US" w:eastAsia="zh-CN"/>
        </w:rPr>
      </w:pPr>
      <w:r>
        <w:rPr>
          <w:rFonts w:hint="eastAsia" w:ascii="楷体_GB2312" w:hAnsi="楷体_GB2312" w:eastAsia="楷体_GB2312" w:cs="楷体_GB2312"/>
          <w:b/>
          <w:bCs/>
          <w:sz w:val="32"/>
          <w:szCs w:val="32"/>
          <w:u w:val="none"/>
          <w:lang w:val="en-US" w:eastAsia="zh-CN"/>
        </w:rPr>
        <w:t>（六）</w:t>
      </w:r>
      <w:r>
        <w:rPr>
          <w:rFonts w:hint="eastAsia" w:ascii="仿宋_GB2312" w:hAnsi="仿宋_GB2312" w:eastAsia="仿宋_GB2312" w:cs="仿宋_GB2312"/>
          <w:sz w:val="32"/>
          <w:szCs w:val="32"/>
          <w:u w:val="none"/>
          <w:lang w:val="en-US" w:eastAsia="zh-CN"/>
        </w:rPr>
        <w:t>之前文件与本通知规定不一致的，以本通知为准。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联系人：省教育厅职成处 程征，电话：0591-87091240。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left="1598" w:leftChars="304" w:right="0" w:rightChars="0" w:hanging="960" w:hangingChars="3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附件：福建省2021年中等职业学校学业水平考试专业基础知识考试课程一览表</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left="1598" w:leftChars="304" w:right="0" w:rightChars="0" w:hanging="960" w:hangingChars="300"/>
        <w:jc w:val="left"/>
        <w:textAlignment w:val="auto"/>
        <w:rPr>
          <w:rFonts w:hint="eastAsia" w:ascii="仿宋_GB2312" w:hAnsi="仿宋_GB2312" w:eastAsia="仿宋_GB2312" w:cs="仿宋_GB2312"/>
          <w:kern w:val="2"/>
          <w:sz w:val="32"/>
          <w:szCs w:val="32"/>
          <w:u w:val="none"/>
          <w:lang w:val="en-US" w:eastAsia="zh-CN" w:bidi="ar-SA"/>
        </w:rPr>
      </w:pP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left="1598" w:leftChars="304" w:right="0" w:rightChars="0" w:hanging="960" w:hangingChars="3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left="1598" w:leftChars="304" w:right="0" w:rightChars="0" w:hanging="960" w:hangingChars="300"/>
        <w:jc w:val="left"/>
        <w:textAlignment w:val="auto"/>
        <w:rPr>
          <w:rFonts w:hint="eastAsia" w:ascii="仿宋_GB2312" w:hAnsi="仿宋_GB2312" w:eastAsia="仿宋_GB2312" w:cs="仿宋_GB2312"/>
          <w:kern w:val="2"/>
          <w:sz w:val="32"/>
          <w:szCs w:val="32"/>
          <w:u w:val="none"/>
          <w:lang w:val="en-US" w:eastAsia="zh-CN" w:bidi="ar-SA"/>
        </w:rPr>
      </w:pP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left="5428" w:leftChars="2280" w:right="0" w:rightChars="0" w:hanging="640" w:hanging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福建省教育厅</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left="5428" w:leftChars="2280" w:right="0" w:rightChars="0" w:hanging="640" w:hangingChars="200"/>
        <w:jc w:val="left"/>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2021年2月26日                       </w:t>
      </w:r>
    </w:p>
    <w:p>
      <w:pPr>
        <w:keepNext w:val="0"/>
        <w:keepLines w:val="0"/>
        <w:pageBreakBefore w:val="0"/>
        <w:widowControl w:val="0"/>
        <w:tabs>
          <w:tab w:val="left" w:pos="786"/>
        </w:tabs>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eastAsia="仿宋_GB2312"/>
          <w:sz w:val="32"/>
          <w:szCs w:val="32"/>
          <w:u w:val="none"/>
        </w:rPr>
      </w:pPr>
      <w:r>
        <w:rPr>
          <w:rFonts w:hint="eastAsia" w:ascii="仿宋_GB2312" w:eastAsia="仿宋_GB2312"/>
          <w:sz w:val="32"/>
          <w:szCs w:val="32"/>
          <w:u w:val="none"/>
        </w:rPr>
        <w:t>(</w:t>
      </w:r>
      <w:bookmarkStart w:id="0" w:name="公开属性"/>
      <w:r>
        <w:rPr>
          <w:rFonts w:hint="eastAsia" w:ascii="仿宋_GB2312" w:eastAsia="仿宋_GB2312"/>
          <w:sz w:val="32"/>
          <w:szCs w:val="32"/>
          <w:u w:val="none"/>
        </w:rPr>
        <w:t>主动公开</w:t>
      </w:r>
      <w:bookmarkEnd w:id="0"/>
      <w:r>
        <w:rPr>
          <w:rFonts w:hint="eastAsia" w:ascii="仿宋_GB2312" w:eastAsia="仿宋_GB2312"/>
          <w:sz w:val="32"/>
          <w:szCs w:val="32"/>
          <w:u w:val="none"/>
        </w:rPr>
        <w:t>)</w:t>
      </w:r>
    </w:p>
    <w:p>
      <w:pPr>
        <w:keepNext w:val="0"/>
        <w:keepLines w:val="0"/>
        <w:pageBreakBefore w:val="0"/>
        <w:widowControl w:val="0"/>
        <w:tabs>
          <w:tab w:val="left" w:pos="403"/>
        </w:tabs>
        <w:kinsoku/>
        <w:wordWrap/>
        <w:overflowPunct/>
        <w:topLinePunct w:val="0"/>
        <w:autoSpaceDE/>
        <w:autoSpaceDN/>
        <w:bidi w:val="0"/>
        <w:adjustRightInd/>
        <w:snapToGrid/>
        <w:spacing w:line="580" w:lineRule="exact"/>
        <w:ind w:right="0" w:rightChars="0"/>
        <w:jc w:val="left"/>
        <w:textAlignment w:val="auto"/>
        <w:rPr>
          <w:rFonts w:hint="eastAsia"/>
          <w:lang w:val="en-US" w:eastAsia="zh-CN"/>
        </w:rPr>
        <w:sectPr>
          <w:footerReference r:id="rId3" w:type="default"/>
          <w:pgSz w:w="11906" w:h="16838"/>
          <w:pgMar w:top="2098" w:right="1474" w:bottom="1701"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黑体" w:hAnsi="黑体" w:eastAsia="黑体" w:cs="黑体"/>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center"/>
        <w:textAlignment w:val="auto"/>
        <w:outlineLvl w:val="9"/>
        <w:rPr>
          <w:rFonts w:hint="eastAsia" w:ascii="方正小标宋_GBK" w:hAnsi="方正小标宋_GBK" w:eastAsia="方正小标宋_GBK" w:cs="方正小标宋_GBK"/>
          <w:b w:val="0"/>
          <w:bCs w:val="0"/>
          <w:sz w:val="44"/>
          <w:szCs w:val="44"/>
          <w:u w:val="none"/>
          <w:lang w:val="en-US" w:eastAsia="zh-CN"/>
        </w:rPr>
      </w:pPr>
      <w:r>
        <w:rPr>
          <w:rFonts w:hint="eastAsia" w:ascii="方正小标宋_GBK" w:hAnsi="方正小标宋_GBK" w:eastAsia="方正小标宋_GBK" w:cs="方正小标宋_GBK"/>
          <w:b w:val="0"/>
          <w:bCs w:val="0"/>
          <w:sz w:val="44"/>
          <w:szCs w:val="44"/>
          <w:u w:val="none"/>
          <w:lang w:val="en-US" w:eastAsia="zh-CN"/>
        </w:rPr>
        <w:t>福建省2021年中等职业学校学业水平考试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u w:val="none"/>
          <w:lang w:val="en-US" w:eastAsia="zh-CN"/>
        </w:rPr>
      </w:pPr>
      <w:r>
        <w:rPr>
          <w:rFonts w:hint="eastAsia" w:ascii="方正小标宋_GBK" w:hAnsi="方正小标宋_GBK" w:eastAsia="方正小标宋_GBK" w:cs="方正小标宋_GBK"/>
          <w:b w:val="0"/>
          <w:bCs w:val="0"/>
          <w:sz w:val="44"/>
          <w:szCs w:val="44"/>
          <w:u w:val="none"/>
          <w:lang w:val="en-US" w:eastAsia="zh-CN"/>
        </w:rPr>
        <w:t>专业基础知识考试课程一览表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u w:val="none"/>
          <w:lang w:val="en-US" w:eastAsia="zh-CN"/>
        </w:rPr>
      </w:pPr>
    </w:p>
    <w:tbl>
      <w:tblPr>
        <w:tblStyle w:val="7"/>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8"/>
        <w:gridCol w:w="1810"/>
        <w:gridCol w:w="1125"/>
        <w:gridCol w:w="3000"/>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6" w:hRule="atLeast"/>
          <w:tblHeader/>
        </w:trPr>
        <w:tc>
          <w:tcPr>
            <w:tcW w:w="52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序号</w:t>
            </w:r>
          </w:p>
        </w:tc>
        <w:tc>
          <w:tcPr>
            <w:tcW w:w="181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专业类别</w:t>
            </w:r>
          </w:p>
        </w:tc>
        <w:tc>
          <w:tcPr>
            <w:tcW w:w="112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专业代码</w:t>
            </w:r>
          </w:p>
        </w:tc>
        <w:tc>
          <w:tcPr>
            <w:tcW w:w="300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专业名称</w:t>
            </w:r>
          </w:p>
        </w:tc>
        <w:tc>
          <w:tcPr>
            <w:tcW w:w="2415"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考试课程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设施农业生产技术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现代农艺技术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010500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种子生产与经营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果蔬花卉生产技术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茶叶生产与加工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中草药种植</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烟草生产与加工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现代林业技术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森林资源保护与管理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园林技术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园林绿化</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植物生产与环境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畜禽生产与疾病防治</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畜禽解剖生理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011900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特种动物养殖</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畜禽解剖生理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畜牧兽医</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畜禽解剖生理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宠物养护与经营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畜禽解剖生理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海水生态养殖</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海洋生物学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航海捕捞</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海洋生物学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农产品保鲜与加工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农产品营销与储运</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农业机械使用与维护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农村电气技术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012900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农业与农村用水</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013100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农村经济综合管理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农林牧渔类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013200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农资连锁经营与管理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资源环境类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021000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地质与测量</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资源环境类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021800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环境监测技术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资源环境类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022000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环境治理技术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资源环境类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022100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生态环境保护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能源与新能源类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031500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发电厂及变电站电气设备</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能源与新能源类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031700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输配电线路施工与运行</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能源与新能源类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031800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供用电技术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建筑工程施工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建筑装饰</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古建筑修缮与仿建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城镇建设</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工程造价</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建筑设备安装</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楼宇智能化设备安装与运行</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39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建筑表现</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给排水工程施工与运行</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市政工程施工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道路与桥梁工程施工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铁道施工与养护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水利水电工程施工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工程测量</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土建工程检测</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土木水利类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041800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工程机械运用与维修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钢铁装备运行与维护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49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有色金属冶炼</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建筑与工程材料</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硅酸盐工艺及工业控制</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工程制图与识图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机械制造技术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机械加工技术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机电技术应用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051301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工业机器人运用与维修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数控技术应用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模具制造技术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051501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3D技术应用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59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机电设备安装与维修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汽车制造与检修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汽车电子技术应用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052200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焊接技术应用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052500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工业自动化仪表及应用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052600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医疗设备安装与维护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052700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电机电器制造与维修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052800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光电仪器制造与维修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052900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制冷和空调设备运行与维修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053000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电气运行与控制</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69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053100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电气技术应用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053200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电子电器应用与维修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053400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微电子技术与器件制造</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72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053500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增材制造技术应用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73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053600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 xml:space="preserve">    工业机器人技术应用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74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sz w:val="22"/>
                <w:szCs w:val="22"/>
                <w:highlight w:val="none"/>
                <w:u w:val="none"/>
                <w:lang w:val="en-US" w:eastAsia="zh-CN"/>
              </w:rPr>
              <w:t>053700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sz w:val="22"/>
                <w:szCs w:val="22"/>
                <w:highlight w:val="none"/>
                <w:u w:val="none"/>
                <w:lang w:eastAsia="zh-CN"/>
              </w:rPr>
              <w:t>新能源汽车装调与检修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sz w:val="22"/>
                <w:szCs w:val="22"/>
                <w:highlight w:val="none"/>
                <w:u w:val="none"/>
                <w:lang w:eastAsia="zh-CN"/>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加工制造类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053800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电梯安装与维修保养</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石油化工类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060100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化学工艺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石油化工类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060200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工业分析与检验</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石油化工类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060400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化工机械与设备</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79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石油化工类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060600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精细化工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石油化工类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060700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生物化工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制浆造纸工艺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平面媒体印制技术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塑料成型</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纺织技术及营销</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纺织材料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染整技术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纺织材料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针织工艺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纺织材料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服装制作与生产管理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服装结构基础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皮革工艺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89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食品生物工艺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粮油饲料加工技术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071400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粮油储运与检验技术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92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轻纺食品类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071700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食品安全与检测技术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食品微生物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铁道运输管理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铁路客运组织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电力机车运用与检修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内燃机车运用与检修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080500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电气化铁道供电</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城市轨道交通运营管理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城市轨道交通运营安全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城市轨道交通车辆运用与检修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99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城市轨道交通信号</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船舶驾驶</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船舶结构与货运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轮机管理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船舶水手与机工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081600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外轮理货</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船舶结构与货运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水路运输管理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船舶结构与货运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082200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飞机维修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机械基础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082300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航空服务</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082500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汽车运用与维修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108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082501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新能源汽车技术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sz w:val="22"/>
                <w:szCs w:val="22"/>
                <w:highlight w:val="none"/>
                <w:u w:val="none"/>
                <w:lang w:eastAsia="zh-CN"/>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109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082600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汽车车身修复</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082700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汽车美容与装潢</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082800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汽车整车与配件营销</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汽车构造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083100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邮轮乘务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083235</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新能源汽车运用与维修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083300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无人机操控与维护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083400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新能源汽车维修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kern w:val="0"/>
                <w:sz w:val="22"/>
                <w:szCs w:val="22"/>
                <w:highlight w:val="none"/>
                <w:u w:val="none"/>
                <w:lang w:val="en-US" w:eastAsia="zh-CN" w:bidi="ar"/>
              </w:rPr>
              <w:t>电工基础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交通运输类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083500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快递运营管理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kern w:val="0"/>
                <w:sz w:val="22"/>
                <w:szCs w:val="22"/>
                <w:highlight w:val="none"/>
                <w:u w:val="none"/>
                <w:lang w:val="en-US" w:eastAsia="zh-CN" w:bidi="ar"/>
              </w:rPr>
              <w:t>物流基础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090101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人工智能技术服务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119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数字媒体技术应用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090201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数字展示技术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计算机平面设计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090301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室内设计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计算机动漫与游戏制作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网站建设与管理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网络安防系统安装与维护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软件与信息服务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客户信息服务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129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计算机速录</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办公事务管理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计算机与数码产品维修</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电子与信息技术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通信技术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通信运营服务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通信系统工程安装与维护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136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091900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物联网技术应用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092000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网络信息安全</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092100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移动应用技术与服务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计算机网络技术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139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信息技术类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092200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服务机器人装调与维护</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护理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助产</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农村医学</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营养与保健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康复技术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眼视光与配镜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医学检验技术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医学影像技术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口腔修复工艺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149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药剂</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中医康复保健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中药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制药技术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102100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生物技术制药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102200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药品食品检验</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155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102300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医疗器械维修与营销</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电子技术基础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医药卫生类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102600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人口与计划生育管理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解剖学基础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休闲保健类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110100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美容美体</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sz w:val="22"/>
                <w:szCs w:val="22"/>
                <w:highlight w:val="none"/>
                <w:u w:val="none"/>
                <w:lang w:eastAsia="zh-CN"/>
              </w:rPr>
              <w:t>化妆基础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休闲保健类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110200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美发与形象设计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sz w:val="22"/>
                <w:szCs w:val="22"/>
                <w:highlight w:val="none"/>
                <w:u w:val="none"/>
                <w:lang w:eastAsia="zh-CN"/>
              </w:rPr>
              <w:t>化妆基础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159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休闲保健类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110400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休闲服务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体育健康概论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会计电算化</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金融事务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保险事务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商品经营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专卖品经营</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连锁经营与管理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电子商务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169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国际商务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商务英语</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商务日语</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121900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物流服务与管理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物流基础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房地产营销与管理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122100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客户服务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175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122200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跨境电子商务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176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财经商贸类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122800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国际货运代理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物流基础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高星级饭店运营与管理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178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179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130201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国际邮轮乘务</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旅游外语</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导游服务</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会展服务与管理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中餐烹饪与营养膳食</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烹饪原料知识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130800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西餐烹饪</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烹饪原料知识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131000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康养休闲旅游服务</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131100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中西面点</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烹饪原料知识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187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旅游服务类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131200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茶艺与茶营销</w:t>
            </w:r>
          </w:p>
        </w:tc>
        <w:tc>
          <w:tcPr>
            <w:tcW w:w="2415"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市场营销基础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社会文化艺术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189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广播影视节目制作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新闻基础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播音与节目主持</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新闻基础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140400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影像与影视技术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音乐</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舞蹈表演</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戏曲表演</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曲艺表演</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戏剧表演</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杂技与魔术表演</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木偶与皮影表演及制作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199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乐器修造</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计算机音乐制作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宋体" w:eastAsia="仿宋_GB2312" w:cs="仿宋_GB2312"/>
                <w:i w:val="0"/>
                <w:color w:val="000000"/>
                <w:kern w:val="0"/>
                <w:sz w:val="22"/>
                <w:szCs w:val="22"/>
                <w:u w:val="none"/>
                <w:lang w:val="en-US" w:eastAsia="zh-CN" w:bidi="ar"/>
              </w:rPr>
              <w:t>201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动漫游戏</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网页美术设计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141900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数字影像技术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工艺美术</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美术绘画</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美术设计与制作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服装设计与工艺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服装结构基础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sz w:val="22"/>
                <w:szCs w:val="22"/>
                <w:highlight w:val="none"/>
                <w:u w:val="none"/>
                <w:lang w:eastAsia="zh-CN"/>
              </w:rPr>
              <w:t>服装展示与礼仪</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化妆基础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209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142600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皮革制品造型设计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珠宝玉石加工与营销</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民间传统工艺</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142900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民族音乐与舞蹈</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基本乐理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文化艺术类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143500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民族工艺品制作</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美术基础知识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体育与健身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150100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运动训练</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体育健康概论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体育与健身</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150200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休闲体育服务与管理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体育健康概论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教育类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160100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学前教育</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学前儿童卫生保健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教育类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160106</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学前教育（保育员）</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学前儿童卫生保健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教育类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160200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幼儿保育</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学前儿童卫生保健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219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180100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办公室文员</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办公事务管理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180200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文秘</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办公事务管理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180300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商务助理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办公事务管理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180700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物业管理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180800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产品质量监督检验</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无机化学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180900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民政服务与管理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181000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社区公共事务管理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181200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社会福利事业管理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227</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181300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家政服务与管理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181400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老年人服务与管理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宋体" w:eastAsia="仿宋_GB2312" w:cs="仿宋_GB2312"/>
                <w:i w:val="0"/>
                <w:color w:val="000000"/>
                <w:kern w:val="0"/>
                <w:sz w:val="22"/>
                <w:szCs w:val="22"/>
                <w:u w:val="none"/>
                <w:lang w:val="en-US" w:eastAsia="zh-CN" w:bidi="ar"/>
              </w:rPr>
              <w:t>229</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181500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现代殡仪技术与管理</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仿宋_GB2312" w:eastAsia="仿宋_GB2312" w:cs="仿宋_GB2312"/>
                <w:i w:val="0"/>
                <w:color w:val="000000"/>
                <w:sz w:val="22"/>
                <w:szCs w:val="22"/>
                <w:highlight w:val="none"/>
                <w:u w:val="none"/>
                <w:lang w:val="en-US" w:eastAsia="zh-CN"/>
              </w:rPr>
              <w:t>230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公共管理与服务类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181700</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智能养老服务</w:t>
            </w:r>
          </w:p>
        </w:tc>
        <w:tc>
          <w:tcPr>
            <w:tcW w:w="241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社会学基础</w:t>
            </w:r>
          </w:p>
        </w:tc>
      </w:tr>
    </w:tbl>
    <w:p>
      <w:pPr>
        <w:spacing w:line="260" w:lineRule="exact"/>
        <w:ind w:firstLine="420"/>
        <w:rPr>
          <w:rFonts w:hint="eastAsia" w:ascii="仿宋_GB2312" w:hAnsi="仿宋_GB2312" w:eastAsia="仿宋_GB2312" w:cs="仿宋_GB2312"/>
          <w:sz w:val="22"/>
          <w:szCs w:val="22"/>
          <w:highlight w:val="none"/>
          <w:u w:val="none"/>
        </w:rPr>
      </w:pPr>
    </w:p>
    <w:p>
      <w:pPr>
        <w:spacing w:line="400" w:lineRule="exact"/>
        <w:ind w:firstLine="420"/>
        <w:rPr>
          <w:rFonts w:hint="eastAsia" w:ascii="仿宋_GB2312" w:eastAsia="仿宋_GB2312"/>
          <w:sz w:val="28"/>
          <w:szCs w:val="28"/>
          <w:u w:val="none"/>
        </w:rPr>
      </w:pPr>
      <w:r>
        <w:rPr>
          <w:rFonts w:hint="eastAsia" w:ascii="方正小标宋_GBK" w:hAnsi="方正小标宋_GBK" w:eastAsia="方正小标宋_GBK" w:cs="方正小标宋_GBK"/>
          <w:b w:val="0"/>
          <w:bCs w:val="0"/>
          <w:sz w:val="28"/>
          <w:szCs w:val="28"/>
          <w:u w:val="none"/>
          <w:lang w:val="en-US" w:eastAsia="zh-CN"/>
        </w:rPr>
        <w:t>注：专业基础知识考试课程共计30门。</w:t>
      </w:r>
    </w:p>
    <w:p>
      <w:pPr>
        <w:tabs>
          <w:tab w:val="left" w:pos="786"/>
        </w:tabs>
        <w:ind w:left="1598" w:leftChars="304" w:hanging="960" w:hangingChars="300"/>
        <w:jc w:val="left"/>
        <w:rPr>
          <w:rFonts w:hint="eastAsia" w:ascii="仿宋_GB2312" w:hAnsi="仿宋_GB2312" w:eastAsia="仿宋_GB2312" w:cs="仿宋_GB2312"/>
          <w:kern w:val="2"/>
          <w:sz w:val="32"/>
          <w:szCs w:val="32"/>
          <w:u w:val="none"/>
          <w:lang w:val="en-US" w:eastAsia="zh-CN" w:bidi="ar-SA"/>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bookmarkStart w:id="1" w:name="_GoBack"/>
      <w:bookmarkEnd w:id="1"/>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400" w:lineRule="exact"/>
        <w:ind w:firstLine="420"/>
        <w:rPr>
          <w:rFonts w:hint="eastAsia" w:ascii="仿宋_GB2312" w:eastAsia="仿宋_GB2312"/>
          <w:sz w:val="32"/>
          <w:szCs w:val="32"/>
          <w:u w:val="none"/>
        </w:rPr>
      </w:pPr>
    </w:p>
    <w:p>
      <w:pPr>
        <w:spacing w:line="260" w:lineRule="exact"/>
        <w:ind w:firstLine="420"/>
        <w:rPr>
          <w:rFonts w:hint="eastAsia" w:ascii="仿宋_GB2312" w:eastAsia="仿宋_GB2312"/>
          <w:sz w:val="32"/>
          <w:szCs w:val="32"/>
          <w:u w:val="none"/>
        </w:rPr>
      </w:pPr>
    </w:p>
    <w:p>
      <w:pPr>
        <w:spacing w:line="420" w:lineRule="exact"/>
        <w:ind w:left="1121" w:leftChars="134" w:hanging="840" w:hangingChars="300"/>
        <w:rPr>
          <w:rFonts w:hint="eastAsia" w:ascii="仿宋_GB2312" w:eastAsia="仿宋_GB2312"/>
          <w:sz w:val="28"/>
          <w:szCs w:val="28"/>
          <w:u w:val="none"/>
        </w:rPr>
      </w:pPr>
      <w:r>
        <w:rPr>
          <w:rFonts w:hint="eastAsia"/>
          <w:sz w:val="28"/>
          <w:szCs w:val="28"/>
          <w:u w: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63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05pt;width:441pt;z-index:251658240;mso-width-relative:page;mso-height-relative:page;" filled="f" stroked="t" coordsize="21600,21600" o:gfxdata="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Y0QZnOAAAAAgEAAA8AAAAAAAAA&#10;AQAgAAAAIgAAAGRycy9kb3ducmV2LnhtbFBLAQIUABQAAAAIAIdO4kCdYmer4gEAAKEDAAAOAAAA&#10;AAAAAAEAIAAAAB0BAABkcnMvZTJvRG9jLnhtbFBLBQYAAAAABgAGAFkBAABxBQAAAAA=&#10;">
                <v:fill on="f" focussize="0,0"/>
                <v:stroke weight="1.5pt" color="#000000" joinstyle="round"/>
                <v:imagedata o:title=""/>
                <o:lock v:ext="edit" aspectratio="f"/>
              </v:shape>
            </w:pict>
          </mc:Fallback>
        </mc:AlternateContent>
      </w:r>
      <w:r>
        <w:rPr>
          <w:rFonts w:hint="eastAsia" w:ascii="仿宋_GB2312" w:eastAsia="仿宋_GB2312"/>
          <w:sz w:val="28"/>
          <w:szCs w:val="28"/>
          <w:u w:val="none"/>
        </w:rPr>
        <w:t>抄送：省人力资源和社会保障厅，省教育考试院，省职业技术教育中心，省</w:t>
      </w:r>
      <w:r>
        <w:rPr>
          <w:rFonts w:hint="eastAsia" w:ascii="仿宋_GB2312" w:eastAsia="仿宋_GB2312"/>
          <w:sz w:val="28"/>
          <w:szCs w:val="28"/>
          <w:u w:val="none"/>
          <w:lang w:eastAsia="zh-CN"/>
        </w:rPr>
        <w:t>技工教育中心</w:t>
      </w:r>
      <w:r>
        <w:rPr>
          <w:rFonts w:hint="eastAsia" w:ascii="仿宋_GB2312" w:eastAsia="仿宋_GB2312"/>
          <w:sz w:val="28"/>
          <w:szCs w:val="28"/>
          <w:u w:val="none"/>
        </w:rPr>
        <w:t>。</w:t>
      </w:r>
    </w:p>
    <w:p>
      <w:pPr>
        <w:ind w:firstLine="320" w:firstLineChars="100"/>
        <w:rPr>
          <w:rFonts w:hint="eastAsia" w:ascii="仿宋_GB2312" w:eastAsia="仿宋_GB2312"/>
          <w:sz w:val="28"/>
          <w:szCs w:val="28"/>
          <w:u w:val="none"/>
        </w:rPr>
      </w:pPr>
      <w:r>
        <w:rPr>
          <w:rFonts w:hint="eastAsia" w:ascii="仿宋_GB2312" w:eastAsia="仿宋_GB2312"/>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05pt;width:441pt;z-index:251660288;mso-width-relative:page;mso-height-relative:page;" filled="f" stroked="t" coordsize="21600,21600" o:gfxdata="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r7xXPAAAAAgEAAA8AAAAAAAAA&#10;AQAgAAAAIgAAAGRycy9kb3ducmV2LnhtbFBLAQIUABQAAAAIAIdO4kAWC93p4QEAAKEDAAAOAAAA&#10;AAAAAAEAIAAAAB4BAABkcnMvZTJvRG9jLnhtbFBLBQYAAAAABgAGAFkBAABxBQAAAAA=&#10;">
                <v:fill on="f" focussize="0,0"/>
                <v:stroke weight="1pt" color="#000000" joinstyle="round"/>
                <v:imagedata o:title=""/>
                <o:lock v:ext="edit" aspectratio="f"/>
              </v:shape>
            </w:pict>
          </mc:Fallback>
        </mc:AlternateContent>
      </w:r>
      <w:r>
        <w:rPr>
          <w:rFonts w:hint="eastAsia" w:ascii="仿宋_GB2312" w:eastAsia="仿宋_GB2312"/>
          <w:sz w:val="28"/>
          <w:szCs w:val="28"/>
          <w:u w:val="none"/>
        </w:rPr>
        <w:t>福建省教育厅办公室                    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eastAsia="仿宋_GB2312"/>
          <w:sz w:val="28"/>
          <w:szCs w:val="28"/>
          <w:u w:val="none"/>
          <w:lang w:val="en-US" w:eastAsia="zh-CN"/>
        </w:rPr>
        <w:t>3</w:t>
      </w:r>
      <w:r>
        <w:rPr>
          <w:rFonts w:hint="eastAsia" w:ascii="仿宋_GB2312" w:eastAsia="仿宋_GB2312"/>
          <w:sz w:val="28"/>
          <w:szCs w:val="28"/>
          <w:u w:val="none"/>
        </w:rPr>
        <w:t>月</w:t>
      </w:r>
      <w:r>
        <w:rPr>
          <w:rFonts w:hint="eastAsia" w:ascii="仿宋_GB2312" w:eastAsia="仿宋_GB2312"/>
          <w:sz w:val="28"/>
          <w:szCs w:val="28"/>
          <w:u w:val="none"/>
          <w:lang w:val="en-US" w:eastAsia="zh-CN"/>
        </w:rPr>
        <w:t>1</w:t>
      </w:r>
      <w:r>
        <w:rPr>
          <w:rFonts w:hint="eastAsia" w:ascii="仿宋_GB2312" w:eastAsia="仿宋_GB2312"/>
          <w:sz w:val="28"/>
          <w:szCs w:val="28"/>
          <w:u w:val="none"/>
        </w:rPr>
        <w:t>日印发</w:t>
      </w:r>
    </w:p>
    <w:p>
      <w:pPr>
        <w:ind w:left="-540" w:leftChars="-257" w:firstLine="539" w:firstLineChars="257"/>
        <w:rPr>
          <w:rFonts w:hint="eastAsia" w:ascii="仿宋_GB2312" w:hAnsi="仿宋_GB2312" w:eastAsia="仿宋_GB2312" w:cs="仿宋_GB2312"/>
          <w:sz w:val="32"/>
          <w:szCs w:val="32"/>
          <w:u w:val="none"/>
          <w:lang w:val="en-US" w:eastAsia="zh-CN"/>
        </w:rPr>
      </w:pPr>
      <w:r>
        <w:rPr>
          <w:rFonts w:hint="eastAsia"/>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0pt;height:0.05pt;width:441pt;z-index:251659264;mso-width-relative:page;mso-height-relative:page;" filled="f" stroked="t" coordsize="21600,21600" o:gfxdata="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NEGZzgAAAAIBAAAPAAAAAAAA&#10;AAEAIAAAACIAAABkcnMvZG93bnJldi54bWxQSwECFAAUAAAACACHTuJAVx9rtuMBAAChAwAADgAA&#10;AAAAAAABACAAAAAdAQAAZHJzL2Uyb0RvYy54bWxQSwUGAAAAAAYABgBZAQAAcgU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32"/>
          <w:szCs w:val="32"/>
          <w:u w:val="none"/>
          <w:lang w:val="en-US" w:eastAsia="zh-CN"/>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黑体;">
    <w:altName w:val="黑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方正小标宋体">
    <w:altName w:val="宋体"/>
    <w:panose1 w:val="00000000000000000000"/>
    <w:charset w:val="00"/>
    <w:family w:val="auto"/>
    <w:pitch w:val="default"/>
    <w:sig w:usb0="00000000" w:usb1="00000000" w:usb2="00000000"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简体">
    <w:altName w:val="宋体"/>
    <w:panose1 w:val="03000509000000000000"/>
    <w:charset w:val="86"/>
    <w:family w:val="auto"/>
    <w:pitch w:val="default"/>
    <w:sig w:usb0="00000000" w:usb1="00000000" w:usb2="00000000" w:usb3="00000000" w:csb0="00040000" w:csb1="00000000"/>
  </w:font>
  <w:font w:name="+mn-cs">
    <w:altName w:val="仿宋_GB2312"/>
    <w:panose1 w:val="00000000000000000000"/>
    <w:charset w:val="00"/>
    <w:family w:val="roman"/>
    <w:pitch w:val="default"/>
    <w:sig w:usb0="00000000" w:usb1="00000000" w:usb2="00000000" w:usb3="00000000" w:csb0="00040001" w:csb1="00000000"/>
  </w:font>
  <w:font w:name="方正黑体简体">
    <w:altName w:val="方正小标宋简体"/>
    <w:panose1 w:val="02010601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MS PMincho">
    <w:panose1 w:val="02020600040205080304"/>
    <w:charset w:val="80"/>
    <w:family w:val="auto"/>
    <w:pitch w:val="default"/>
    <w:sig w:usb0="E00002FF" w:usb1="6AC7FDFB" w:usb2="00000012" w:usb3="00000000" w:csb0="4002009F" w:csb1="DFD70000"/>
  </w:font>
  <w:font w:name="汉仪旗黑-55">
    <w:altName w:val="黑体"/>
    <w:panose1 w:val="00020600040101010101"/>
    <w:charset w:val="86"/>
    <w:family w:val="auto"/>
    <w:pitch w:val="default"/>
    <w:sig w:usb0="00000000" w:usb1="00000000" w:usb2="00000016" w:usb3="00000000" w:csb0="00040000" w:csb1="00000000"/>
  </w:font>
  <w:font w:name="Bookman Old Style">
    <w:panose1 w:val="02050604050505020204"/>
    <w:charset w:val="00"/>
    <w:family w:val="roman"/>
    <w:pitch w:val="default"/>
    <w:sig w:usb0="00000287" w:usb1="00000000" w:usb2="00000000" w:usb3="00000000" w:csb0="2000009F" w:csb1="DFD7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roman"/>
    <w:pitch w:val="default"/>
    <w:sig w:usb0="8000002F" w:usb1="02000008" w:usb2="00000000" w:usb3="00000000" w:csb0="001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Courier New"/>
    <w:panose1 w:val="00000000000000000000"/>
    <w:charset w:val="00"/>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方正粗黑宋简体">
    <w:altName w:val="宋体"/>
    <w:panose1 w:val="02000000000000000000"/>
    <w:charset w:val="86"/>
    <w:family w:val="auto"/>
    <w:pitch w:val="default"/>
    <w:sig w:usb0="00000000" w:usb1="00000000" w:usb2="00000012" w:usb3="00000000" w:csb0="00040001" w:csb1="00000000"/>
  </w:font>
  <w:font w:name="MingLiU">
    <w:panose1 w:val="02020509000000000000"/>
    <w:charset w:val="88"/>
    <w:family w:val="modern"/>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GulimChe">
    <w:panose1 w:val="020B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18030">
    <w:altName w:val="宋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ingFang SC">
    <w:altName w:val="仿宋_GB2312"/>
    <w:panose1 w:val="00000000000000000000"/>
    <w:charset w:val="00"/>
    <w:family w:val="auto"/>
    <w:pitch w:val="default"/>
    <w:sig w:usb0="00000000" w:usb1="00000000" w:usb2="00000000" w:usb3="00000000" w:csb0="00040001" w:csb1="00000000"/>
  </w:font>
  <w:font w:name="Calibri">
    <w:panose1 w:val="020F0502020204030204"/>
    <w:charset w:val="01"/>
    <w:family w:val="swiss"/>
    <w:pitch w:val="default"/>
    <w:sig w:usb0="E10002FF" w:usb1="4000ACFF" w:usb2="00000009" w:usb3="00000000" w:csb0="2000019F" w:csb1="00000000"/>
  </w:font>
  <w:font w:name="微软简中圆">
    <w:altName w:val="Courier New"/>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微软简综艺">
    <w:altName w:val="Lucida Console"/>
    <w:panose1 w:val="02010609000101010101"/>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 w:name="微软简仿宋">
    <w:altName w:val="仿宋_GB2312"/>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魏碑">
    <w:altName w:val="Courier New"/>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行楷简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魏碑简体">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迷你简中宋">
    <w:altName w:val="宋体"/>
    <w:panose1 w:val="02010609010101010101"/>
    <w:charset w:val="00"/>
    <w:family w:val="auto"/>
    <w:pitch w:val="default"/>
    <w:sig w:usb0="00000000" w:usb1="00000000" w:usb2="00000000" w:usb3="00000000" w:csb0="00000000" w:csb1="00000000"/>
  </w:font>
  <w:font w:name="迷你简中圆">
    <w:altName w:val="Lucida Console"/>
    <w:panose1 w:val="02010609000101010101"/>
    <w:charset w:val="00"/>
    <w:family w:val="auto"/>
    <w:pitch w:val="default"/>
    <w:sig w:usb0="00000000" w:usb1="00000000" w:usb2="00000000" w:usb3="00000000" w:csb0="00000000" w:csb1="00000000"/>
  </w:font>
  <w:font w:name="迷你简大标宋">
    <w:altName w:val="宋体"/>
    <w:panose1 w:val="03000509000000000000"/>
    <w:charset w:val="86"/>
    <w:family w:val="auto"/>
    <w:pitch w:val="default"/>
    <w:sig w:usb0="00000000" w:usb1="00000000" w:usb2="00000000" w:usb3="00000000" w:csb0="00040000" w:csb1="00000000"/>
  </w:font>
  <w:font w:name="迷你简中特广告">
    <w:altName w:val="宋体"/>
    <w:panose1 w:val="020B0602010101010101"/>
    <w:charset w:val="86"/>
    <w:family w:val="auto"/>
    <w:pitch w:val="default"/>
    <w:sig w:usb0="00000000" w:usb1="00000000" w:usb2="00000000" w:usb3="00000000" w:csb0="00040000" w:csb1="00000000"/>
  </w:font>
  <w:font w:name="迷你简小标宋">
    <w:altName w:val="宋体"/>
    <w:panose1 w:val="03000509000000000000"/>
    <w:charset w:val="86"/>
    <w:family w:val="auto"/>
    <w:pitch w:val="default"/>
    <w:sig w:usb0="00000000" w:usb1="00000000" w:usb2="00000000" w:usb3="00000000" w:csb0="00040000" w:csb1="00000000"/>
  </w:font>
  <w:font w:name="迷你简小隶书">
    <w:altName w:val="宋体"/>
    <w:panose1 w:val="02010609000101010101"/>
    <w:charset w:val="86"/>
    <w:family w:val="auto"/>
    <w:pitch w:val="default"/>
    <w:sig w:usb0="00000000" w:usb1="00000000" w:usb2="00000002" w:usb3="00000000" w:csb0="00040000" w:csb1="00000000"/>
  </w:font>
  <w:font w:name="迷你简新报宋">
    <w:altName w:val="宋体"/>
    <w:panose1 w:val="03000509000000000000"/>
    <w:charset w:val="86"/>
    <w:family w:val="auto"/>
    <w:pitch w:val="default"/>
    <w:sig w:usb0="00000000" w:usb1="00000000" w:usb2="00000000" w:usb3="00000000" w:csb0="00040000" w:csb1="00000000"/>
  </w:font>
  <w:font w:name="迷你简立黑">
    <w:altName w:val="黑体"/>
    <w:panose1 w:val="02010604000101010101"/>
    <w:charset w:val="86"/>
    <w:family w:val="auto"/>
    <w:pitch w:val="default"/>
    <w:sig w:usb0="00000000" w:usb1="00000000" w:usb2="00000002" w:usb3="00000000" w:csb0="00040000" w:csb1="00000000"/>
  </w:font>
  <w:font w:name="迷你简粗宋">
    <w:altName w:val="宋体"/>
    <w:panose1 w:val="03000509000000000000"/>
    <w:charset w:val="86"/>
    <w:family w:val="auto"/>
    <w:pitch w:val="default"/>
    <w:sig w:usb0="00000000" w:usb1="00000000" w:usb2="00000000" w:usb3="00000000" w:csb0="00040000" w:csb1="00000000"/>
  </w:font>
  <w:font w:name="迷你简粗隶书">
    <w:altName w:val="宋体"/>
    <w:panose1 w:val="02010609000101010101"/>
    <w:charset w:val="00"/>
    <w:family w:val="auto"/>
    <w:pitch w:val="default"/>
    <w:sig w:usb0="00000000" w:usb1="00000000" w:usb2="00000000" w:usb3="00000000" w:csb0="00000000" w:csb1="00000000"/>
  </w:font>
  <w:font w:name="sinmsun">
    <w:altName w:val="Times New Roman"/>
    <w:panose1 w:val="00000000000000000000"/>
    <w:charset w:val="00"/>
    <w:family w:val="decorative"/>
    <w:pitch w:val="default"/>
    <w:sig w:usb0="00000000" w:usb1="00000000" w:usb2="00000000"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Lucida Console">
    <w:panose1 w:val="020B0609040504020204"/>
    <w:charset w:val="00"/>
    <w:family w:val="auto"/>
    <w:pitch w:val="default"/>
    <w:sig w:usb0="8000028F" w:usb1="00001800" w:usb2="00000000" w:usb3="00000000" w:csb0="0000001F" w:csb1="D7D70000"/>
  </w:font>
  <w:font w:name="Gulim">
    <w:panose1 w:val="020B0600000101010101"/>
    <w:charset w:val="81"/>
    <w:family w:val="auto"/>
    <w:pitch w:val="default"/>
    <w:sig w:usb0="B00002AF" w:usb1="69D77CFB"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宋体-方正超大字符集">
    <w:panose1 w:val="03000509000000000000"/>
    <w:charset w:val="86"/>
    <w:family w:val="script"/>
    <w:pitch w:val="default"/>
    <w:sig w:usb0="00000001" w:usb1="080E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HiddenHorzOCl">
    <w:altName w:val="宋体"/>
    <w:panose1 w:val="00000000000000000000"/>
    <w:charset w:val="86"/>
    <w:family w:val="swiss"/>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汉仪书宋一简">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entury Gothic">
    <w:panose1 w:val="020B0502020202020204"/>
    <w:charset w:val="00"/>
    <w:family w:val="swiss"/>
    <w:pitch w:val="default"/>
    <w:sig w:usb0="00000287" w:usb1="00000000" w:usb2="00000000" w:usb3="00000000" w:csb0="2000009F" w:csb1="DFD70000"/>
  </w:font>
  <w:font w:name="方正大标宋简体">
    <w:altName w:val="宋体"/>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_x001A_">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小标宋">
    <w:altName w:val="宋体"/>
    <w:panose1 w:val="03000509000000000000"/>
    <w:charset w:val="86"/>
    <w:family w:val="script"/>
    <w:pitch w:val="default"/>
    <w:sig w:usb0="00000000" w:usb1="00000000" w:usb2="00000000" w:usb3="00000000" w:csb0="00040000" w:csb1="00000000"/>
  </w:font>
  <w:font w:name="monospace">
    <w:altName w:val="Courier New"/>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Candara">
    <w:panose1 w:val="020E0502030303020204"/>
    <w:charset w:val="00"/>
    <w:family w:val="auto"/>
    <w:pitch w:val="default"/>
    <w:sig w:usb0="A00002EF" w:usb1="4000A44B" w:usb2="00000000" w:usb3="00000000" w:csb0="2000019F" w:csb1="00000000"/>
  </w:font>
  <w:font w:name="Century Schoolbook">
    <w:panose1 w:val="020406040505050203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DaunPenh">
    <w:panose1 w:val="01010101010101010101"/>
    <w:charset w:val="00"/>
    <w:family w:val="auto"/>
    <w:pitch w:val="default"/>
    <w:sig w:usb0="00000003" w:usb1="00000000" w:usb2="00010000" w:usb3="00000000" w:csb0="00000001" w:csb1="00000000"/>
  </w:font>
  <w:font w:name="Ebrima">
    <w:panose1 w:val="02000000000000000000"/>
    <w:charset w:val="00"/>
    <w:family w:val="auto"/>
    <w:pitch w:val="default"/>
    <w:sig w:usb0="A000505F" w:usb1="02000041" w:usb2="00000000" w:usb3="00000404" w:csb0="00000093" w:csb1="00000000"/>
  </w:font>
  <w:font w:name="Eras Demi ITC">
    <w:panose1 w:val="020B08050305040208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Forte">
    <w:panose1 w:val="03060902040502070203"/>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Gill Sans MT Condensed">
    <w:panose1 w:val="020B0506020104020203"/>
    <w:charset w:val="00"/>
    <w:family w:val="auto"/>
    <w:pitch w:val="default"/>
    <w:sig w:usb0="00000003" w:usb1="00000000" w:usb2="00000000" w:usb3="00000000" w:csb0="20000003" w:csb1="00000000"/>
  </w:font>
  <w:font w:name="Gisha">
    <w:panose1 w:val="020B0502040204020203"/>
    <w:charset w:val="00"/>
    <w:family w:val="auto"/>
    <w:pitch w:val="default"/>
    <w:sig w:usb0="80000807" w:usb1="40000042" w:usb2="00000000" w:usb3="00000000" w:csb0="00000021" w:csb1="00000000"/>
  </w:font>
  <w:font w:name="Haettenschweiler">
    <w:panose1 w:val="020B0706040902060204"/>
    <w:charset w:val="00"/>
    <w:family w:val="auto"/>
    <w:pitch w:val="default"/>
    <w:sig w:usb0="00000287"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Kartika">
    <w:panose1 w:val="02020503030404060203"/>
    <w:charset w:val="00"/>
    <w:family w:val="auto"/>
    <w:pitch w:val="default"/>
    <w:sig w:usb0="0080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ucida Sans Typewriter">
    <w:panose1 w:val="020B0509030504030204"/>
    <w:charset w:val="00"/>
    <w:family w:val="auto"/>
    <w:pitch w:val="default"/>
    <w:sig w:usb0="00000003"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Vrinda">
    <w:panose1 w:val="020B0502040204020203"/>
    <w:charset w:val="00"/>
    <w:family w:val="auto"/>
    <w:pitch w:val="default"/>
    <w:sig w:usb0="0001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onotype Corsiva">
    <w:panose1 w:val="03010101010201010101"/>
    <w:charset w:val="00"/>
    <w:family w:val="auto"/>
    <w:pitch w:val="default"/>
    <w:sig w:usb0="00000287"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方正楷体_GBK">
    <w:altName w:val="方正小标宋简体"/>
    <w:panose1 w:val="03000509000000000000"/>
    <w:charset w:val="86"/>
    <w:family w:val="script"/>
    <w:pitch w:val="default"/>
    <w:sig w:usb0="00000000" w:usb1="00000000" w:usb2="00000010" w:usb3="00000000" w:csb0="00040000" w:csb1="00000000"/>
  </w:font>
  <w:font w:name="Century">
    <w:panose1 w:val="02040604050505020304"/>
    <w:charset w:val="00"/>
    <w:family w:val="auto"/>
    <w:pitch w:val="default"/>
    <w:sig w:usb0="00000287" w:usb1="00000000" w:usb2="00000000" w:usb3="00000000" w:csb0="2000009F" w:csb1="DFD70000"/>
  </w:font>
  <w:font w:name="Wide Latin">
    <w:panose1 w:val="020A0A070505050204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Viner Hand ITC">
    <w:panose1 w:val="03070502030502020203"/>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Nyala">
    <w:panose1 w:val="02000504070300020003"/>
    <w:charset w:val="00"/>
    <w:family w:val="auto"/>
    <w:pitch w:val="default"/>
    <w:sig w:usb0="A000006F" w:usb1="00000000" w:usb2="00000800" w:usb3="00000000" w:csb0="00000093"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 w:name="方正准圆简体">
    <w:altName w:val="黑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0"/>
    <w:family w:val="auto"/>
    <w:pitch w:val="default"/>
    <w:sig w:usb0="00000000" w:usb1="00000000" w:usb2="00000000" w:usb3="00000000" w:csb0="00000093" w:csb1="00000000"/>
  </w:font>
  <w:font w:name="Marigold">
    <w:altName w:val="Comic Sans MS"/>
    <w:panose1 w:val="03020702040402020504"/>
    <w:charset w:val="00"/>
    <w:family w:val="auto"/>
    <w:pitch w:val="default"/>
    <w:sig w:usb0="00000000" w:usb1="00000000" w:usb2="00000000" w:usb3="00000000" w:csb0="20000093" w:csb1="00000000"/>
  </w:font>
  <w:font w:name="MV Boli">
    <w:panose1 w:val="02000500030200090000"/>
    <w:charset w:val="00"/>
    <w:family w:val="auto"/>
    <w:pitch w:val="default"/>
    <w:sig w:usb0="00000003" w:usb1="00000000" w:usb2="00000100" w:usb3="00000000" w:csb0="00000001" w:csb1="00000000"/>
  </w:font>
  <w:font w:name="Coronet">
    <w:altName w:val="Comic Sans MS"/>
    <w:panose1 w:val="03030502040406070605"/>
    <w:charset w:val="00"/>
    <w:family w:val="auto"/>
    <w:pitch w:val="default"/>
    <w:sig w:usb0="00000000" w:usb1="00000000" w:usb2="00000000" w:usb3="00000000" w:csb0="20000093" w:csb1="00000000"/>
  </w:font>
  <w:font w:name="???????">
    <w:altName w:val="Times New Roman"/>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思源黑体">
    <w:altName w:val="黑体"/>
    <w:panose1 w:val="020B0500000000090000"/>
    <w:charset w:val="86"/>
    <w:family w:val="auto"/>
    <w:pitch w:val="default"/>
    <w:sig w:usb0="00000000" w:usb1="00000000" w:usb2="00000016" w:usb3="00000000" w:csb0="60060107" w:csb1="00000000"/>
  </w:font>
  <w:font w:name="Consolas">
    <w:panose1 w:val="020B0609020204030204"/>
    <w:charset w:val="00"/>
    <w:family w:val="auto"/>
    <w:pitch w:val="default"/>
    <w:sig w:usb0="E10002FF" w:usb1="4000FCFF" w:usb2="00000009" w:usb3="00000000" w:csb0="6000019F" w:csb1="DFD70000"/>
  </w:font>
  <w:font w:name="Latha">
    <w:panose1 w:val="020B0604020202020204"/>
    <w:charset w:val="00"/>
    <w:family w:val="auto"/>
    <w:pitch w:val="default"/>
    <w:sig w:usb0="00100003" w:usb1="00000000" w:usb2="00000000" w:usb3="00000000" w:csb0="00000001" w:csb1="00000000"/>
  </w:font>
  <w:font w:name="Adobe 仿宋 Std R">
    <w:altName w:val="仿宋_GB2312"/>
    <w:panose1 w:val="00000000000000000000"/>
    <w:charset w:val="86"/>
    <w:family w:val="roman"/>
    <w:pitch w:val="default"/>
    <w:sig w:usb0="00000000" w:usb1="00000000" w:usb2="00000010" w:usb3="00000000" w:csb0="00060007" w:csb1="00000000"/>
  </w:font>
  <w:font w:name="汉仪旗黑-55S">
    <w:altName w:val="黑体"/>
    <w:panose1 w:val="00020600040101010101"/>
    <w:charset w:val="86"/>
    <w:family w:val="auto"/>
    <w:pitch w:val="default"/>
    <w:sig w:usb0="00000000" w:usb1="00000000" w:usb2="00000016" w:usb3="00000000" w:csb0="00040000" w:csb1="00000000"/>
  </w:font>
  <w:font w:name="Traditional Arabic">
    <w:panose1 w:val="02020603050405020304"/>
    <w:charset w:val="00"/>
    <w:family w:val="auto"/>
    <w:pitch w:val="default"/>
    <w:sig w:usb0="00006003" w:usb1="80000000" w:usb2="00000008" w:usb3="00000000" w:csb0="00000041" w:csb1="20080000"/>
  </w:font>
  <w:font w:name="NumberOnly">
    <w:altName w:val="MV Boli"/>
    <w:panose1 w:val="020B0500000000000000"/>
    <w:charset w:val="00"/>
    <w:family w:val="auto"/>
    <w:pitch w:val="default"/>
    <w:sig w:usb0="00000000" w:usb1="00000000" w:usb2="00000000" w:usb3="00000000" w:csb0="00000111" w:csb1="40000000"/>
  </w:font>
  <w:font w:name="cicons">
    <w:altName w:val="Courier New"/>
    <w:panose1 w:val="00000000000000000000"/>
    <w:charset w:val="00"/>
    <w:family w:val="auto"/>
    <w:pitch w:val="default"/>
    <w:sig w:usb0="00000000" w:usb1="00000000" w:usb2="00000000" w:usb3="00000000" w:csb0="00000000" w:csb1="00000000"/>
  </w:font>
  <w:font w:name="serif">
    <w:altName w:val="Courier New"/>
    <w:panose1 w:val="00000000000000000000"/>
    <w:charset w:val="00"/>
    <w:family w:val="auto"/>
    <w:pitch w:val="default"/>
    <w:sig w:usb0="00000000" w:usb1="00000000" w:usb2="00000000" w:usb3="00000000" w:csb0="00000000" w:csb1="00000000"/>
  </w:font>
  <w:font w:name="Geneva">
    <w:altName w:val="Arial"/>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04C000" w:usb3="00000000" w:csb0="00000001" w:csb1="40000000"/>
  </w:font>
  <w:font w:name="AdobeHeitiStd-Regular">
    <w:altName w:val="宋体"/>
    <w:panose1 w:val="00000000000000000000"/>
    <w:charset w:val="86"/>
    <w:family w:val="auto"/>
    <w:pitch w:val="default"/>
    <w:sig w:usb0="00000000" w:usb1="00000000" w:usb2="00000010" w:usb3="00000000" w:csb0="00040000" w:csb1="00000000"/>
  </w:font>
  <w:font w:name="font-weight : 400">
    <w:altName w:val="Courier New"/>
    <w:panose1 w:val="00000000000000000000"/>
    <w:charset w:val="00"/>
    <w:family w:val="auto"/>
    <w:pitch w:val="default"/>
    <w:sig w:usb0="00000000" w:usb1="00000000" w:usb2="00000000" w:usb3="00000000" w:csb0="00000000" w:csb1="00000000"/>
  </w:font>
  <w:font w:name="ZGYZEF+FZSSK--GBK1-0">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DejaVu Sans">
    <w:altName w:val="Lucida Console"/>
    <w:panose1 w:val="00000000000000000000"/>
    <w:charset w:val="00"/>
    <w:family w:val="roman"/>
    <w:pitch w:val="default"/>
    <w:sig w:usb0="00000000" w:usb1="00000000" w:usb2="0A246029" w:usb3="0400200C" w:csb0="600001FF" w:csb1="DFFF0000"/>
  </w:font>
  <w:font w:name="Franklin Gothic Medium">
    <w:panose1 w:val="020B0603020102020204"/>
    <w:charset w:val="00"/>
    <w:family w:val="auto"/>
    <w:pitch w:val="default"/>
    <w:sig w:usb0="00000287" w:usb1="00000000" w:usb2="00000000" w:usb3="00000000" w:csb0="2000009F" w:csb1="DFD70000"/>
  </w:font>
  <w:font w:name="MT Extra">
    <w:panose1 w:val="05050102010205020202"/>
    <w:charset w:val="00"/>
    <w:family w:val="auto"/>
    <w:pitch w:val="default"/>
    <w:sig w:usb0="80000000" w:usb1="00000000" w:usb2="00000000" w:usb3="00000000" w:csb0="00000000" w:csb1="00000000"/>
  </w:font>
  <w:font w:name="Marlett">
    <w:panose1 w:val="00000000000000000000"/>
    <w:charset w:val="00"/>
    <w:family w:val="auto"/>
    <w:pitch w:val="default"/>
    <w:sig w:usb0="00000000" w:usb1="00000000" w:usb2="00000000" w:usb3="00000000" w:csb0="80000000" w:csb1="00000000"/>
  </w:font>
  <w:font w:name="Gloucester MT Extra Condensed">
    <w:panose1 w:val="02030808020601010101"/>
    <w:charset w:val="00"/>
    <w:family w:val="auto"/>
    <w:pitch w:val="default"/>
    <w:sig w:usb0="00000003" w:usb1="00000000" w:usb2="00000000" w:usb3="00000000" w:csb0="20000001" w:csb1="00000000"/>
  </w:font>
  <w:font w:name="??">
    <w:altName w:val="宋体"/>
    <w:panose1 w:val="00000000000000000000"/>
    <w:charset w:val="01"/>
    <w:family w:val="roman"/>
    <w:pitch w:val="default"/>
    <w:sig w:usb0="00000000" w:usb1="00000000" w:usb2="00000000" w:usb3="00000000" w:csb0="00040001" w:csb1="00000000"/>
  </w:font>
  <w:font w:name="全新硬笔行书简">
    <w:altName w:val="宋体"/>
    <w:panose1 w:val="02010600040101010101"/>
    <w:charset w:val="86"/>
    <w:family w:val="auto"/>
    <w:pitch w:val="default"/>
    <w:sig w:usb0="00000000" w:usb1="00000000" w:usb2="00000000" w:usb3="00000000" w:csb0="00040000" w:csb1="00000000"/>
  </w:font>
  <w:font w:name="思源宋体 CN Medium">
    <w:altName w:val="宋体"/>
    <w:panose1 w:val="02020500000000000000"/>
    <w:charset w:val="86"/>
    <w:family w:val="auto"/>
    <w:pitch w:val="default"/>
    <w:sig w:usb0="00000000" w:usb1="00000000" w:usb2="00000016" w:usb3="00000000" w:csb0="60060107"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方正兰亭刊黑_GBK">
    <w:altName w:val="黑体"/>
    <w:panose1 w:val="02000000000000000000"/>
    <w:charset w:val="86"/>
    <w:family w:val="auto"/>
    <w:pitch w:val="default"/>
    <w:sig w:usb0="00000000" w:usb1="00000000" w:usb2="00000000" w:usb3="00000000" w:csb0="00040000" w:csb1="00000000"/>
  </w:font>
  <w:font w:name="方正兰亭纤黑简体">
    <w:altName w:val="黑体"/>
    <w:panose1 w:val="03000509000000000000"/>
    <w:charset w:val="86"/>
    <w:family w:val="auto"/>
    <w:pitch w:val="default"/>
    <w:sig w:usb0="00000000" w:usb1="00000000" w:usb2="00000000" w:usb3="00000000" w:csb0="00040000" w:csb1="00000000"/>
  </w:font>
  <w:font w:name="王金彦简行书完善体">
    <w:altName w:val="宋体"/>
    <w:panose1 w:val="02010601030101010101"/>
    <w:charset w:val="86"/>
    <w:family w:val="auto"/>
    <w:pitch w:val="default"/>
    <w:sig w:usb0="00000000" w:usb1="00000000" w:usb2="00000000" w:usb3="00000000" w:csb0="00040000" w:csb1="00000000"/>
  </w:font>
  <w:font w:name="禹卫书法行书简体">
    <w:altName w:val="Courier New"/>
    <w:panose1 w:val="00000000000000000000"/>
    <w:charset w:val="00"/>
    <w:family w:val="auto"/>
    <w:pitch w:val="default"/>
    <w:sig w:usb0="00000000" w:usb1="00000000" w:usb2="00000000" w:usb3="00000000" w:csb0="00000000" w:csb1="00000000"/>
  </w:font>
  <w:font w:name="造字工房乐真体（非商用）">
    <w:altName w:val="宋体"/>
    <w:panose1 w:val="00000000000000000000"/>
    <w:charset w:val="86"/>
    <w:family w:val="auto"/>
    <w:pitch w:val="default"/>
    <w:sig w:usb0="00000000" w:usb1="00000000" w:usb2="00000012" w:usb3="00000000" w:csb0="00040000" w:csb1="00000000"/>
  </w:font>
  <w:font w:name="造字工房佳黑（非商用）常规体">
    <w:altName w:val="黑体"/>
    <w:panose1 w:val="00000000000000000000"/>
    <w:charset w:val="86"/>
    <w:family w:val="auto"/>
    <w:pitch w:val="default"/>
    <w:sig w:usb0="00000000" w:usb1="00000000" w:usb2="00000000" w:usb3="00000000" w:csb0="00040001" w:csb1="00000000"/>
  </w:font>
  <w:font w:name="造字工房品宋（非商用）常规体">
    <w:altName w:val="宋体"/>
    <w:panose1 w:val="00000000000000000000"/>
    <w:charset w:val="86"/>
    <w:family w:val="auto"/>
    <w:pitch w:val="default"/>
    <w:sig w:usb0="00000000" w:usb1="00000000" w:usb2="00000000" w:usb3="00000000" w:csb0="00040001" w:csb1="00000000"/>
  </w:font>
  <w:font w:name="造字工房喜月(非商用）常规体">
    <w:altName w:val="宋体"/>
    <w:panose1 w:val="00000000000000000000"/>
    <w:charset w:val="86"/>
    <w:family w:val="auto"/>
    <w:pitch w:val="default"/>
    <w:sig w:usb0="00000000" w:usb1="00000000" w:usb2="00000012" w:usb3="00000000" w:csb0="00040000" w:csb1="00000000"/>
  </w:font>
  <w:font w:name="造字工房尚黑 G0v1 粗体">
    <w:altName w:val="黑体"/>
    <w:panose1 w:val="00000000000000000000"/>
    <w:charset w:val="86"/>
    <w:family w:val="auto"/>
    <w:pitch w:val="default"/>
    <w:sig w:usb0="00000000" w:usb1="00000000" w:usb2="00000000" w:usb3="00000000" w:csb0="00040001" w:csb1="00000000"/>
  </w:font>
  <w:font w:name="造字工房尚黑 G0v1 纤细超长体">
    <w:altName w:val="黑体"/>
    <w:panose1 w:val="00000000000000000000"/>
    <w:charset w:val="86"/>
    <w:family w:val="auto"/>
    <w:pitch w:val="default"/>
    <w:sig w:usb0="00000000" w:usb1="00000000" w:usb2="00000000" w:usb3="00000000" w:csb0="00040001" w:csb1="00000000"/>
  </w:font>
  <w:font w:name="造字工房念真(非商用）常规体">
    <w:altName w:val="宋体"/>
    <w:panose1 w:val="00000000000000000000"/>
    <w:charset w:val="86"/>
    <w:family w:val="auto"/>
    <w:pitch w:val="default"/>
    <w:sig w:usb0="00000000" w:usb1="00000000" w:usb2="00000012" w:usb3="00000000" w:csb0="00040000" w:csb1="00000000"/>
  </w:font>
  <w:font w:name="造字工房悦圆 G0v1 常规体">
    <w:altName w:val="宋体"/>
    <w:panose1 w:val="00000000000000000000"/>
    <w:charset w:val="86"/>
    <w:family w:val="auto"/>
    <w:pitch w:val="default"/>
    <w:sig w:usb0="00000000" w:usb1="00000000" w:usb2="00000000" w:usb3="00000000" w:csb0="00040001" w:csb1="00000000"/>
  </w:font>
  <w:font w:name="造字工房悦黑体验版特细长体">
    <w:altName w:val="黑体"/>
    <w:panose1 w:val="00000000000000000000"/>
    <w:charset w:val="86"/>
    <w:family w:val="auto"/>
    <w:pitch w:val="default"/>
    <w:sig w:usb0="00000000" w:usb1="00000000" w:usb2="00000000" w:usb3="00000000" w:csb0="00040001" w:csb1="00000000"/>
  </w:font>
  <w:font w:name="造字工房悦黑体验版纤细体">
    <w:altName w:val="黑体"/>
    <w:panose1 w:val="00000000000000000000"/>
    <w:charset w:val="86"/>
    <w:family w:val="auto"/>
    <w:pitch w:val="default"/>
    <w:sig w:usb0="00000000" w:usb1="00000000" w:usb2="00000000" w:usb3="00000000" w:csb0="00040001" w:csb1="00000000"/>
  </w:font>
  <w:font w:name="Malgun Gothic Semilight">
    <w:altName w:val="宋体"/>
    <w:panose1 w:val="00000000000000000000"/>
    <w:charset w:val="86"/>
    <w:family w:val="swiss"/>
    <w:pitch w:val="default"/>
    <w:sig w:usb0="00000000" w:usb1="00000000" w:usb2="00000012" w:usb3="00000000" w:csb0="003E01BD" w:csb1="00000000"/>
  </w:font>
  <w:font w:name="Bradley Hand ITC">
    <w:panose1 w:val="03070402050302030203"/>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26828"/>
    <w:rsid w:val="009C2DEA"/>
    <w:rsid w:val="00BA179E"/>
    <w:rsid w:val="016734FD"/>
    <w:rsid w:val="02CB63D5"/>
    <w:rsid w:val="05DF2A4C"/>
    <w:rsid w:val="078E7E83"/>
    <w:rsid w:val="088261E9"/>
    <w:rsid w:val="099D3764"/>
    <w:rsid w:val="09F26828"/>
    <w:rsid w:val="0C1655ED"/>
    <w:rsid w:val="0F345A5A"/>
    <w:rsid w:val="0FB163FA"/>
    <w:rsid w:val="12B93EC8"/>
    <w:rsid w:val="143E13FE"/>
    <w:rsid w:val="146A2116"/>
    <w:rsid w:val="14E378AE"/>
    <w:rsid w:val="15DA4BE5"/>
    <w:rsid w:val="19214D96"/>
    <w:rsid w:val="1A161A1A"/>
    <w:rsid w:val="1BE101EE"/>
    <w:rsid w:val="1E0C1F17"/>
    <w:rsid w:val="1F04399F"/>
    <w:rsid w:val="20842E80"/>
    <w:rsid w:val="24577EF7"/>
    <w:rsid w:val="25717CEB"/>
    <w:rsid w:val="25900385"/>
    <w:rsid w:val="26E66F6C"/>
    <w:rsid w:val="2A60734B"/>
    <w:rsid w:val="2D8F0C1B"/>
    <w:rsid w:val="2DD82B80"/>
    <w:rsid w:val="2DF71C0E"/>
    <w:rsid w:val="30934CB5"/>
    <w:rsid w:val="30C56BD8"/>
    <w:rsid w:val="3A5416FF"/>
    <w:rsid w:val="3AA306FF"/>
    <w:rsid w:val="3B3F06CE"/>
    <w:rsid w:val="3DE13DC6"/>
    <w:rsid w:val="3F4250E6"/>
    <w:rsid w:val="41A15831"/>
    <w:rsid w:val="43CC509F"/>
    <w:rsid w:val="44A817CA"/>
    <w:rsid w:val="463151C2"/>
    <w:rsid w:val="470F0B6E"/>
    <w:rsid w:val="49545658"/>
    <w:rsid w:val="4BE776E8"/>
    <w:rsid w:val="4C30051C"/>
    <w:rsid w:val="4E94547C"/>
    <w:rsid w:val="4FE80F5D"/>
    <w:rsid w:val="50FE7743"/>
    <w:rsid w:val="51DC6A68"/>
    <w:rsid w:val="52ED18F8"/>
    <w:rsid w:val="53160D48"/>
    <w:rsid w:val="556C7151"/>
    <w:rsid w:val="55D827D2"/>
    <w:rsid w:val="5735233D"/>
    <w:rsid w:val="575E399B"/>
    <w:rsid w:val="581B2949"/>
    <w:rsid w:val="590E0590"/>
    <w:rsid w:val="59524614"/>
    <w:rsid w:val="599A6D59"/>
    <w:rsid w:val="5AF73C63"/>
    <w:rsid w:val="5B8769CF"/>
    <w:rsid w:val="5D35563A"/>
    <w:rsid w:val="5E8720EC"/>
    <w:rsid w:val="5F817D2B"/>
    <w:rsid w:val="60342B0A"/>
    <w:rsid w:val="63B50E00"/>
    <w:rsid w:val="644F1DDB"/>
    <w:rsid w:val="64673060"/>
    <w:rsid w:val="68F074EB"/>
    <w:rsid w:val="6A801A04"/>
    <w:rsid w:val="6C8B092B"/>
    <w:rsid w:val="6CCC6014"/>
    <w:rsid w:val="6EC1752A"/>
    <w:rsid w:val="706021C9"/>
    <w:rsid w:val="71BE4AC1"/>
    <w:rsid w:val="7261350C"/>
    <w:rsid w:val="73181799"/>
    <w:rsid w:val="73DE361A"/>
    <w:rsid w:val="74D8343A"/>
    <w:rsid w:val="75031388"/>
    <w:rsid w:val="757032B5"/>
    <w:rsid w:val="77B609EC"/>
    <w:rsid w:val="78AD1D23"/>
    <w:rsid w:val="7C0A4CDB"/>
    <w:rsid w:val="7C9D65CE"/>
    <w:rsid w:val="7D4203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2019-12-10T00:57:00Z</dcterms:created>
  <dc:creator>lenovo</dc:creator>
  <cp:lastModifiedBy>程征</cp:lastModifiedBy>
  <cp:lastPrinted>2021-02-24T00:55:00Z</cp:lastPrinted>
  <dcterms:modified xsi:type="dcterms:W3CDTF">2021-03-02T03:42:59Z</dcterms:modified>
  <dc:title>福建省教育厅关于做好2020年中等职业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